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C" w:rsidRDefault="0001220C" w:rsidP="0001220C">
      <w:pPr>
        <w:pStyle w:val="NormaleWeb"/>
        <w:spacing w:before="0"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805374" cy="907084"/>
            <wp:effectExtent l="19050" t="0" r="0" b="0"/>
            <wp:docPr id="1" name="Immagine 0" descr="fpcgilesteri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gilesteri20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01" cy="90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0C" w:rsidRDefault="0001220C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4D4C01" w:rsidRPr="00581F68" w:rsidRDefault="002518A0" w:rsidP="005831DA">
      <w:pPr>
        <w:pStyle w:val="Normale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C01" w:rsidRPr="00581F68">
        <w:rPr>
          <w:sz w:val="28"/>
          <w:szCs w:val="28"/>
        </w:rPr>
        <w:t xml:space="preserve">Buona sera </w:t>
      </w:r>
      <w:r w:rsidR="00946B00">
        <w:rPr>
          <w:sz w:val="28"/>
          <w:szCs w:val="28"/>
        </w:rPr>
        <w:t xml:space="preserve">Signor </w:t>
      </w:r>
      <w:r w:rsidR="004D4C01" w:rsidRPr="00581F68">
        <w:rPr>
          <w:sz w:val="28"/>
          <w:szCs w:val="28"/>
        </w:rPr>
        <w:t xml:space="preserve">Ministro, </w:t>
      </w:r>
    </w:p>
    <w:p w:rsidR="00B57FBB" w:rsidRPr="00581F68" w:rsidRDefault="00B57FBB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E55535" w:rsidRPr="00581F68" w:rsidRDefault="004D4C01" w:rsidP="00E55535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la ringrazio </w:t>
      </w:r>
      <w:r w:rsidR="000C07CA">
        <w:rPr>
          <w:sz w:val="28"/>
          <w:szCs w:val="28"/>
        </w:rPr>
        <w:t>per</w:t>
      </w:r>
      <w:r w:rsidRPr="00581F68">
        <w:rPr>
          <w:sz w:val="28"/>
          <w:szCs w:val="28"/>
        </w:rPr>
        <w:t xml:space="preserve"> averci </w:t>
      </w:r>
      <w:r w:rsidR="003A6C5C" w:rsidRPr="00581F68">
        <w:rPr>
          <w:sz w:val="28"/>
          <w:szCs w:val="28"/>
        </w:rPr>
        <w:t xml:space="preserve">finalmente </w:t>
      </w:r>
      <w:r w:rsidRPr="00581F68">
        <w:rPr>
          <w:sz w:val="28"/>
          <w:szCs w:val="28"/>
        </w:rPr>
        <w:t>incontr</w:t>
      </w:r>
      <w:r w:rsidR="00AC1435" w:rsidRPr="00581F68">
        <w:rPr>
          <w:sz w:val="28"/>
          <w:szCs w:val="28"/>
        </w:rPr>
        <w:t>ati</w:t>
      </w:r>
      <w:r w:rsidR="008B3213">
        <w:rPr>
          <w:sz w:val="28"/>
          <w:szCs w:val="28"/>
        </w:rPr>
        <w:t>.</w:t>
      </w:r>
    </w:p>
    <w:p w:rsidR="00AC1435" w:rsidRPr="00581F68" w:rsidRDefault="00AC1435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4D4C01" w:rsidRPr="00581F68" w:rsidRDefault="00A3291F" w:rsidP="005831DA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La </w:t>
      </w:r>
      <w:r w:rsidRPr="00581F68">
        <w:rPr>
          <w:b/>
          <w:sz w:val="28"/>
          <w:szCs w:val="28"/>
        </w:rPr>
        <w:t>CGIL</w:t>
      </w:r>
      <w:r w:rsidRPr="00581F68">
        <w:rPr>
          <w:sz w:val="28"/>
          <w:szCs w:val="28"/>
        </w:rPr>
        <w:t xml:space="preserve"> è l’</w:t>
      </w:r>
      <w:r w:rsidR="004D4C01" w:rsidRPr="00581F68">
        <w:rPr>
          <w:sz w:val="28"/>
          <w:szCs w:val="28"/>
        </w:rPr>
        <w:t>ultim</w:t>
      </w:r>
      <w:r w:rsidRPr="00581F68">
        <w:rPr>
          <w:sz w:val="28"/>
          <w:szCs w:val="28"/>
        </w:rPr>
        <w:t>a a parlare anche se è un sindacato di grande rilevanza nel MAECI</w:t>
      </w:r>
      <w:r w:rsidR="000C07CA">
        <w:rPr>
          <w:sz w:val="28"/>
          <w:szCs w:val="28"/>
        </w:rPr>
        <w:t>:</w:t>
      </w:r>
      <w:r w:rsidRPr="00581F68">
        <w:rPr>
          <w:sz w:val="28"/>
          <w:szCs w:val="28"/>
        </w:rPr>
        <w:t xml:space="preserve"> “last but not least”.</w:t>
      </w:r>
    </w:p>
    <w:p w:rsidR="00B57FBB" w:rsidRPr="00581F68" w:rsidRDefault="00B57FBB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4D4C01" w:rsidRPr="00581F68" w:rsidRDefault="004D4C01" w:rsidP="005831DA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A questo punto è ovvio che molti degli argomenti più importanti siano stati già affrontati.  </w:t>
      </w:r>
    </w:p>
    <w:p w:rsidR="00EE0DFF" w:rsidRPr="00581F68" w:rsidRDefault="004D4C01" w:rsidP="00B57FBB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Vorrei comunque incentrare il mio in</w:t>
      </w:r>
      <w:r w:rsidR="00EE0DFF" w:rsidRPr="00581F68">
        <w:rPr>
          <w:sz w:val="28"/>
          <w:szCs w:val="28"/>
        </w:rPr>
        <w:t xml:space="preserve">tervento soprattutto sulle tematiche che riguardano il </w:t>
      </w:r>
      <w:r w:rsidR="00EE0DFF" w:rsidRPr="00581F68">
        <w:rPr>
          <w:b/>
          <w:sz w:val="28"/>
          <w:szCs w:val="28"/>
        </w:rPr>
        <w:t>personale</w:t>
      </w:r>
      <w:r w:rsidR="001E181D" w:rsidRPr="00581F68">
        <w:rPr>
          <w:sz w:val="28"/>
          <w:szCs w:val="28"/>
        </w:rPr>
        <w:t xml:space="preserve">, </w:t>
      </w:r>
      <w:r w:rsidR="00B57FBB" w:rsidRPr="00581F68">
        <w:rPr>
          <w:sz w:val="28"/>
          <w:szCs w:val="28"/>
        </w:rPr>
        <w:t>ma</w:t>
      </w:r>
      <w:r w:rsidR="001E181D" w:rsidRPr="00581F68">
        <w:rPr>
          <w:sz w:val="28"/>
          <w:szCs w:val="28"/>
        </w:rPr>
        <w:t xml:space="preserve"> </w:t>
      </w:r>
      <w:r w:rsidR="00B57FBB" w:rsidRPr="00581F68">
        <w:rPr>
          <w:sz w:val="28"/>
          <w:szCs w:val="28"/>
        </w:rPr>
        <w:t xml:space="preserve">prima </w:t>
      </w:r>
      <w:r w:rsidR="001E181D" w:rsidRPr="00581F68">
        <w:rPr>
          <w:sz w:val="28"/>
          <w:szCs w:val="28"/>
        </w:rPr>
        <w:t>vo</w:t>
      </w:r>
      <w:r w:rsidR="00B57FBB" w:rsidRPr="00581F68">
        <w:rPr>
          <w:sz w:val="28"/>
          <w:szCs w:val="28"/>
        </w:rPr>
        <w:t>rrei</w:t>
      </w:r>
      <w:r w:rsidR="001E181D" w:rsidRPr="00581F68">
        <w:rPr>
          <w:sz w:val="28"/>
          <w:szCs w:val="28"/>
        </w:rPr>
        <w:t xml:space="preserve"> fare una </w:t>
      </w:r>
      <w:r w:rsidR="00EE0DFF" w:rsidRPr="00581F68">
        <w:rPr>
          <w:sz w:val="28"/>
          <w:szCs w:val="28"/>
        </w:rPr>
        <w:t>premessa di carattere generale.</w:t>
      </w:r>
    </w:p>
    <w:p w:rsidR="00B57FBB" w:rsidRPr="00581F68" w:rsidRDefault="00B57FBB" w:rsidP="00B57FBB">
      <w:pPr>
        <w:pStyle w:val="NormaleWeb"/>
        <w:spacing w:before="0" w:after="0"/>
        <w:jc w:val="both"/>
        <w:rPr>
          <w:sz w:val="28"/>
          <w:szCs w:val="28"/>
        </w:rPr>
      </w:pPr>
    </w:p>
    <w:p w:rsidR="00A60207" w:rsidRPr="00581F68" w:rsidRDefault="00EE0DFF" w:rsidP="00B57FBB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I</w:t>
      </w:r>
      <w:r w:rsidR="00756C2E" w:rsidRPr="00581F68">
        <w:rPr>
          <w:sz w:val="28"/>
          <w:szCs w:val="28"/>
        </w:rPr>
        <w:t xml:space="preserve">n un quadro politico internazionale estremamente </w:t>
      </w:r>
      <w:r w:rsidRPr="00581F68">
        <w:rPr>
          <w:sz w:val="28"/>
          <w:szCs w:val="28"/>
        </w:rPr>
        <w:t xml:space="preserve">complesso e in continua evoluzione, </w:t>
      </w:r>
      <w:r w:rsidR="00756C2E" w:rsidRPr="00581F68">
        <w:rPr>
          <w:sz w:val="28"/>
          <w:szCs w:val="28"/>
        </w:rPr>
        <w:t xml:space="preserve">è necessario ricordare che </w:t>
      </w:r>
      <w:r w:rsidRPr="00581F68">
        <w:rPr>
          <w:sz w:val="28"/>
          <w:szCs w:val="28"/>
        </w:rPr>
        <w:t>i</w:t>
      </w:r>
      <w:r w:rsidR="00756C2E" w:rsidRPr="00581F68">
        <w:rPr>
          <w:sz w:val="28"/>
          <w:szCs w:val="28"/>
        </w:rPr>
        <w:t xml:space="preserve">l Ministero </w:t>
      </w:r>
      <w:r w:rsidRPr="00581F68">
        <w:rPr>
          <w:sz w:val="28"/>
          <w:szCs w:val="28"/>
        </w:rPr>
        <w:t xml:space="preserve">degli </w:t>
      </w:r>
      <w:r w:rsidR="00756C2E" w:rsidRPr="00581F68">
        <w:rPr>
          <w:sz w:val="28"/>
          <w:szCs w:val="28"/>
        </w:rPr>
        <w:t xml:space="preserve">Affari Esteri </w:t>
      </w:r>
      <w:r w:rsidRPr="00581F68">
        <w:rPr>
          <w:sz w:val="28"/>
          <w:szCs w:val="28"/>
        </w:rPr>
        <w:t xml:space="preserve">e della Cooperazione Internazionale </w:t>
      </w:r>
      <w:r w:rsidR="00756C2E" w:rsidRPr="00581F68">
        <w:rPr>
          <w:sz w:val="28"/>
          <w:szCs w:val="28"/>
        </w:rPr>
        <w:t>è lo strumento principe della politica estera italiana</w:t>
      </w:r>
      <w:r w:rsidR="000C07CA">
        <w:rPr>
          <w:sz w:val="28"/>
          <w:szCs w:val="28"/>
        </w:rPr>
        <w:t>,</w:t>
      </w:r>
      <w:r w:rsidR="00756C2E" w:rsidRPr="00581F68">
        <w:rPr>
          <w:sz w:val="28"/>
          <w:szCs w:val="28"/>
        </w:rPr>
        <w:t xml:space="preserve"> con tutte le sue sfaccettature e i compiti più o meno visibili (dalla diplomazia alla cooperazione</w:t>
      </w:r>
      <w:r w:rsidRPr="00581F68">
        <w:rPr>
          <w:sz w:val="28"/>
          <w:szCs w:val="28"/>
        </w:rPr>
        <w:t>,</w:t>
      </w:r>
      <w:r w:rsidR="00756C2E" w:rsidRPr="00581F68">
        <w:rPr>
          <w:sz w:val="28"/>
          <w:szCs w:val="28"/>
        </w:rPr>
        <w:t xml:space="preserve"> dalla sicurezza nazionale all’assistenza ai connazionali, dall’internazionalizzazione delle imprese alla politica culturale, all’Europa).</w:t>
      </w:r>
      <w:r w:rsidR="00A60207" w:rsidRPr="00581F68">
        <w:rPr>
          <w:sz w:val="28"/>
          <w:szCs w:val="28"/>
        </w:rPr>
        <w:t xml:space="preserve"> </w:t>
      </w:r>
    </w:p>
    <w:p w:rsidR="00B57FBB" w:rsidRPr="00581F68" w:rsidRDefault="00B57FBB" w:rsidP="00B57FBB">
      <w:pPr>
        <w:pStyle w:val="NormaleWeb"/>
        <w:spacing w:before="0" w:after="0"/>
        <w:jc w:val="both"/>
        <w:rPr>
          <w:sz w:val="28"/>
          <w:szCs w:val="28"/>
        </w:rPr>
      </w:pPr>
    </w:p>
    <w:p w:rsidR="0099234C" w:rsidRPr="00581F68" w:rsidRDefault="0099234C" w:rsidP="00B57FBB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Mi limito a sottolineare solo </w:t>
      </w:r>
      <w:r w:rsidR="00C678D2" w:rsidRPr="00581F68">
        <w:rPr>
          <w:sz w:val="28"/>
          <w:szCs w:val="28"/>
        </w:rPr>
        <w:t>alcuni</w:t>
      </w:r>
      <w:r w:rsidRPr="00581F68">
        <w:rPr>
          <w:sz w:val="28"/>
          <w:szCs w:val="28"/>
        </w:rPr>
        <w:t xml:space="preserve"> aspetti. </w:t>
      </w:r>
    </w:p>
    <w:p w:rsidR="00B57FBB" w:rsidRPr="00581F68" w:rsidRDefault="00B57FBB" w:rsidP="00B57FBB">
      <w:pPr>
        <w:pStyle w:val="NormaleWeb"/>
        <w:spacing w:before="0" w:after="0"/>
        <w:jc w:val="both"/>
        <w:rPr>
          <w:sz w:val="28"/>
          <w:szCs w:val="28"/>
        </w:rPr>
      </w:pPr>
    </w:p>
    <w:p w:rsidR="00A60207" w:rsidRPr="00581F68" w:rsidRDefault="0099234C" w:rsidP="00B57FBB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Il</w:t>
      </w:r>
      <w:r w:rsidR="001E181D" w:rsidRPr="00581F68">
        <w:rPr>
          <w:sz w:val="28"/>
          <w:szCs w:val="28"/>
        </w:rPr>
        <w:t xml:space="preserve"> sistema economico italiano </w:t>
      </w:r>
      <w:r w:rsidR="00A60207" w:rsidRPr="00581F68">
        <w:rPr>
          <w:sz w:val="28"/>
          <w:szCs w:val="28"/>
        </w:rPr>
        <w:t>sta attraversando una fase congiunturale molto critica</w:t>
      </w:r>
      <w:r w:rsidR="001E181D" w:rsidRPr="00581F68">
        <w:rPr>
          <w:sz w:val="28"/>
          <w:szCs w:val="28"/>
        </w:rPr>
        <w:t>. Per questo</w:t>
      </w:r>
      <w:r w:rsidR="00A60207" w:rsidRPr="00581F68">
        <w:rPr>
          <w:sz w:val="28"/>
          <w:szCs w:val="28"/>
        </w:rPr>
        <w:t xml:space="preserve"> l’attività della </w:t>
      </w:r>
      <w:r w:rsidR="00A60207" w:rsidRPr="00581F68">
        <w:rPr>
          <w:b/>
          <w:sz w:val="28"/>
          <w:szCs w:val="28"/>
        </w:rPr>
        <w:t>diplomazia economica</w:t>
      </w:r>
      <w:r w:rsidR="00A60207" w:rsidRPr="00581F68">
        <w:rPr>
          <w:sz w:val="28"/>
          <w:szCs w:val="28"/>
        </w:rPr>
        <w:t xml:space="preserve"> svolta tradizionalmente dalla Farnesina, deve assumere oggi, più che mai, un profilo accentuatamente </w:t>
      </w:r>
      <w:r w:rsidR="00A60207" w:rsidRPr="00581F68">
        <w:rPr>
          <w:i/>
          <w:iCs/>
          <w:sz w:val="28"/>
          <w:szCs w:val="28"/>
        </w:rPr>
        <w:t>business oriented</w:t>
      </w:r>
      <w:r w:rsidR="000C07CA">
        <w:rPr>
          <w:i/>
          <w:iCs/>
          <w:sz w:val="28"/>
          <w:szCs w:val="28"/>
        </w:rPr>
        <w:t>,</w:t>
      </w:r>
      <w:r w:rsidR="00A60207" w:rsidRPr="00581F68">
        <w:rPr>
          <w:i/>
          <w:iCs/>
          <w:sz w:val="28"/>
          <w:szCs w:val="28"/>
        </w:rPr>
        <w:t xml:space="preserve"> </w:t>
      </w:r>
      <w:r w:rsidR="00A60207" w:rsidRPr="00581F68">
        <w:rPr>
          <w:sz w:val="28"/>
          <w:szCs w:val="28"/>
        </w:rPr>
        <w:t>conferendo un rinnovato impulso alla propria azione al servizio delle imprese italiane all'estero e in favore della crescita del Paese.</w:t>
      </w:r>
    </w:p>
    <w:p w:rsidR="00B57FBB" w:rsidRPr="00581F68" w:rsidRDefault="00B57FBB" w:rsidP="00B57FBB">
      <w:pPr>
        <w:pStyle w:val="NormaleWeb"/>
        <w:spacing w:before="0" w:after="0"/>
        <w:jc w:val="both"/>
        <w:rPr>
          <w:sz w:val="28"/>
          <w:szCs w:val="28"/>
        </w:rPr>
      </w:pPr>
    </w:p>
    <w:p w:rsidR="0099234C" w:rsidRDefault="0099234C" w:rsidP="00B57FBB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Inoltre, uno dei compiti di questo Ministero è di fornire </w:t>
      </w:r>
      <w:r w:rsidRPr="00581F68">
        <w:rPr>
          <w:b/>
          <w:sz w:val="28"/>
          <w:szCs w:val="28"/>
        </w:rPr>
        <w:t>servizi all’estero</w:t>
      </w:r>
      <w:r w:rsidRPr="00581F68">
        <w:rPr>
          <w:sz w:val="28"/>
          <w:szCs w:val="28"/>
        </w:rPr>
        <w:t xml:space="preserve"> all’altezza delle aspettative del Paese e della collettività</w:t>
      </w:r>
      <w:r w:rsidR="000C07CA">
        <w:rPr>
          <w:sz w:val="28"/>
          <w:szCs w:val="28"/>
        </w:rPr>
        <w:t>,</w:t>
      </w:r>
      <w:r w:rsidRPr="00581F68">
        <w:rPr>
          <w:sz w:val="28"/>
          <w:szCs w:val="28"/>
        </w:rPr>
        <w:t xml:space="preserve"> ed in grado di contribuire al rilancio della nostra presenza ed incisività nello scenario internazionale. I </w:t>
      </w:r>
      <w:r w:rsidRPr="0069744E">
        <w:rPr>
          <w:b/>
          <w:sz w:val="28"/>
          <w:szCs w:val="28"/>
        </w:rPr>
        <w:t>Consolati</w:t>
      </w:r>
      <w:r w:rsidRPr="00581F68">
        <w:rPr>
          <w:sz w:val="28"/>
          <w:szCs w:val="28"/>
        </w:rPr>
        <w:t xml:space="preserve"> in particolare sono lo specchio del Ministero e la finestra del lavoro della Farnesina all’estero.</w:t>
      </w:r>
      <w:r w:rsidR="00C678D2" w:rsidRPr="00581F68">
        <w:rPr>
          <w:sz w:val="28"/>
          <w:szCs w:val="28"/>
        </w:rPr>
        <w:t xml:space="preserve"> </w:t>
      </w:r>
      <w:r w:rsidRPr="00581F68">
        <w:rPr>
          <w:sz w:val="28"/>
          <w:szCs w:val="28"/>
        </w:rPr>
        <w:t>Il personale che lavora presso l</w:t>
      </w:r>
      <w:r w:rsidR="006218F1" w:rsidRPr="00581F68">
        <w:rPr>
          <w:sz w:val="28"/>
          <w:szCs w:val="28"/>
        </w:rPr>
        <w:t>e</w:t>
      </w:r>
      <w:r w:rsidRPr="00581F68">
        <w:rPr>
          <w:sz w:val="28"/>
          <w:szCs w:val="28"/>
        </w:rPr>
        <w:t xml:space="preserve"> nostre Sedi  contemporaneamente svolge compiti che in Italia sono attribuiti a Questure, Comuni, ASL, Capitanerie di Porto, Notai, Polizia Giudiziaria, MIUR</w:t>
      </w:r>
      <w:r w:rsidR="00B57FBB" w:rsidRPr="00581F68">
        <w:rPr>
          <w:sz w:val="28"/>
          <w:szCs w:val="28"/>
        </w:rPr>
        <w:t>, ACI</w:t>
      </w:r>
      <w:r w:rsidRPr="00581F68">
        <w:rPr>
          <w:sz w:val="28"/>
          <w:szCs w:val="28"/>
        </w:rPr>
        <w:t>. Il tutto con poche risorse umane e strumentali, a fronte di un aumento vertiginoso dell’emigrazione</w:t>
      </w:r>
      <w:r w:rsidR="00C678D2" w:rsidRPr="00581F68">
        <w:rPr>
          <w:sz w:val="28"/>
          <w:szCs w:val="28"/>
        </w:rPr>
        <w:t xml:space="preserve">, soprattutto giovanile, </w:t>
      </w:r>
      <w:r w:rsidRPr="00581F68">
        <w:rPr>
          <w:sz w:val="28"/>
          <w:szCs w:val="28"/>
        </w:rPr>
        <w:t>che ci riporta a medie statistiche simili a quelle degli anni sessanta.</w:t>
      </w:r>
    </w:p>
    <w:p w:rsidR="0001220C" w:rsidRPr="00581F68" w:rsidRDefault="0001220C" w:rsidP="00B57FBB">
      <w:pPr>
        <w:pStyle w:val="NormaleWeb"/>
        <w:spacing w:before="0" w:after="0"/>
        <w:jc w:val="both"/>
        <w:rPr>
          <w:sz w:val="28"/>
          <w:szCs w:val="28"/>
        </w:rPr>
      </w:pPr>
    </w:p>
    <w:p w:rsidR="0069744E" w:rsidRDefault="0069744E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913" w:rsidRPr="00581F68" w:rsidRDefault="00C678D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fronte di </w:t>
      </w:r>
      <w:r w:rsidR="007534E4" w:rsidRPr="00581F68">
        <w:rPr>
          <w:rFonts w:ascii="Times New Roman" w:eastAsia="Times New Roman" w:hAnsi="Times New Roman" w:cs="Times New Roman"/>
          <w:sz w:val="28"/>
          <w:szCs w:val="28"/>
        </w:rPr>
        <w:t xml:space="preserve">tutte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queste </w:t>
      </w:r>
      <w:r w:rsidR="001E181D" w:rsidRPr="00581F68">
        <w:rPr>
          <w:rFonts w:ascii="Times New Roman" w:eastAsia="Times New Roman" w:hAnsi="Times New Roman" w:cs="Times New Roman"/>
          <w:sz w:val="28"/>
          <w:szCs w:val="28"/>
        </w:rPr>
        <w:t>attività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che lei conosce bene</w:t>
      </w:r>
      <w:r w:rsidR="001E181D" w:rsidRPr="00581F68">
        <w:rPr>
          <w:rFonts w:ascii="Times New Roman" w:eastAsia="Times New Roman" w:hAnsi="Times New Roman" w:cs="Times New Roman"/>
          <w:sz w:val="28"/>
          <w:szCs w:val="28"/>
        </w:rPr>
        <w:t xml:space="preserve">, anche per </w:t>
      </w:r>
      <w:r w:rsidR="006218F1" w:rsidRPr="00581F68">
        <w:rPr>
          <w:rFonts w:ascii="Times New Roman" w:eastAsia="Times New Roman" w:hAnsi="Times New Roman" w:cs="Times New Roman"/>
          <w:sz w:val="28"/>
          <w:szCs w:val="28"/>
        </w:rPr>
        <w:t>i s</w:t>
      </w:r>
      <w:r w:rsidR="001E181D" w:rsidRPr="00581F68">
        <w:rPr>
          <w:rFonts w:ascii="Times New Roman" w:eastAsia="Times New Roman" w:hAnsi="Times New Roman" w:cs="Times New Roman"/>
          <w:sz w:val="28"/>
          <w:szCs w:val="28"/>
        </w:rPr>
        <w:t>u</w:t>
      </w:r>
      <w:r w:rsidR="006218F1" w:rsidRPr="00581F68">
        <w:rPr>
          <w:rFonts w:ascii="Times New Roman" w:eastAsia="Times New Roman" w:hAnsi="Times New Roman" w:cs="Times New Roman"/>
          <w:sz w:val="28"/>
          <w:szCs w:val="28"/>
        </w:rPr>
        <w:t>oi</w:t>
      </w:r>
      <w:r w:rsidR="001E181D" w:rsidRPr="00581F68">
        <w:rPr>
          <w:rFonts w:ascii="Times New Roman" w:eastAsia="Times New Roman" w:hAnsi="Times New Roman" w:cs="Times New Roman"/>
          <w:sz w:val="28"/>
          <w:szCs w:val="28"/>
        </w:rPr>
        <w:t xml:space="preserve"> precedenti </w:t>
      </w:r>
      <w:r w:rsidR="00737EDB" w:rsidRPr="00581F68">
        <w:rPr>
          <w:rFonts w:ascii="Times New Roman" w:eastAsia="Times New Roman" w:hAnsi="Times New Roman" w:cs="Times New Roman"/>
          <w:sz w:val="28"/>
          <w:szCs w:val="28"/>
        </w:rPr>
        <w:t>impegn</w:t>
      </w:r>
      <w:r w:rsidR="006218F1" w:rsidRPr="00581F68">
        <w:rPr>
          <w:rFonts w:ascii="Times New Roman" w:eastAsia="Times New Roman" w:hAnsi="Times New Roman" w:cs="Times New Roman"/>
          <w:sz w:val="28"/>
          <w:szCs w:val="28"/>
        </w:rPr>
        <w:t>i</w:t>
      </w:r>
      <w:r w:rsidR="001E181D" w:rsidRPr="00581F68">
        <w:rPr>
          <w:rFonts w:ascii="Times New Roman" w:eastAsia="Times New Roman" w:hAnsi="Times New Roman" w:cs="Times New Roman"/>
          <w:sz w:val="28"/>
          <w:szCs w:val="28"/>
        </w:rPr>
        <w:t xml:space="preserve"> in campo internazionale,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DFF" w:rsidRPr="00581F68">
        <w:rPr>
          <w:rFonts w:ascii="Times New Roman" w:eastAsia="Times New Roman" w:hAnsi="Times New Roman" w:cs="Times New Roman"/>
          <w:sz w:val="28"/>
          <w:szCs w:val="28"/>
        </w:rPr>
        <w:t xml:space="preserve">riscontro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invece </w:t>
      </w:r>
      <w:r w:rsidR="00EE0DFF" w:rsidRPr="00581F68">
        <w:rPr>
          <w:rFonts w:ascii="Times New Roman" w:eastAsia="Times New Roman" w:hAnsi="Times New Roman" w:cs="Times New Roman"/>
          <w:sz w:val="28"/>
          <w:szCs w:val="28"/>
        </w:rPr>
        <w:t xml:space="preserve">che da tempo </w:t>
      </w:r>
      <w:r w:rsidR="00756C2E" w:rsidRPr="00581F68">
        <w:rPr>
          <w:rFonts w:ascii="Times New Roman" w:eastAsia="Times New Roman" w:hAnsi="Times New Roman" w:cs="Times New Roman"/>
          <w:sz w:val="28"/>
          <w:szCs w:val="28"/>
        </w:rPr>
        <w:t xml:space="preserve">ci sia una </w:t>
      </w:r>
      <w:r w:rsidR="00756C2E" w:rsidRPr="00581F68">
        <w:rPr>
          <w:rFonts w:ascii="Times New Roman" w:eastAsia="Times New Roman" w:hAnsi="Times New Roman" w:cs="Times New Roman"/>
          <w:b/>
          <w:sz w:val="28"/>
          <w:szCs w:val="28"/>
        </w:rPr>
        <w:t>marginalizzazione</w:t>
      </w:r>
      <w:r w:rsidR="00756C2E" w:rsidRPr="00581F68">
        <w:rPr>
          <w:rFonts w:ascii="Times New Roman" w:eastAsia="Times New Roman" w:hAnsi="Times New Roman" w:cs="Times New Roman"/>
          <w:sz w:val="28"/>
          <w:szCs w:val="28"/>
        </w:rPr>
        <w:t xml:space="preserve"> del MAECI, la cui causa va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in primo luogo </w:t>
      </w:r>
      <w:r w:rsidR="00756C2E" w:rsidRPr="00581F68">
        <w:rPr>
          <w:rFonts w:ascii="Times New Roman" w:eastAsia="Times New Roman" w:hAnsi="Times New Roman" w:cs="Times New Roman"/>
          <w:sz w:val="28"/>
          <w:szCs w:val="28"/>
        </w:rPr>
        <w:t>ricercata nella mancanza di  progettualità funzionale, idonea a rispondere all’accresciuta esposizione mediatica</w:t>
      </w:r>
      <w:r w:rsidR="000C07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6C2E" w:rsidRPr="00581F68">
        <w:rPr>
          <w:rFonts w:ascii="Times New Roman" w:eastAsia="Times New Roman" w:hAnsi="Times New Roman" w:cs="Times New Roman"/>
          <w:sz w:val="28"/>
          <w:szCs w:val="28"/>
        </w:rPr>
        <w:t xml:space="preserve"> oltre che alla rinnovata centralità della politica estera in Europa e nel mondo</w:t>
      </w:r>
      <w:r w:rsidR="00E57913"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6C2E" w:rsidRPr="00581F68" w:rsidRDefault="00756C2E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913" w:rsidRPr="00581F68" w:rsidRDefault="00E57913" w:rsidP="00756C2E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Questo si evince anche dal </w:t>
      </w:r>
      <w:r w:rsidR="00756C2E" w:rsidRPr="00581F68">
        <w:rPr>
          <w:sz w:val="28"/>
          <w:szCs w:val="28"/>
        </w:rPr>
        <w:t xml:space="preserve">rapporto tra </w:t>
      </w:r>
      <w:r w:rsidR="00756C2E" w:rsidRPr="00581F68">
        <w:rPr>
          <w:b/>
          <w:sz w:val="28"/>
          <w:szCs w:val="28"/>
        </w:rPr>
        <w:t>Bilancio MAE</w:t>
      </w:r>
      <w:r w:rsidR="00282F82" w:rsidRPr="00581F68">
        <w:rPr>
          <w:b/>
          <w:sz w:val="28"/>
          <w:szCs w:val="28"/>
        </w:rPr>
        <w:t>CI</w:t>
      </w:r>
      <w:r w:rsidRPr="00581F68">
        <w:rPr>
          <w:b/>
          <w:sz w:val="28"/>
          <w:szCs w:val="28"/>
        </w:rPr>
        <w:t>/</w:t>
      </w:r>
      <w:r w:rsidR="00756C2E" w:rsidRPr="00581F68">
        <w:rPr>
          <w:b/>
          <w:sz w:val="28"/>
          <w:szCs w:val="28"/>
        </w:rPr>
        <w:t>Bilancio dello Stato</w:t>
      </w:r>
      <w:r w:rsidR="00756C2E" w:rsidRPr="00581F68">
        <w:rPr>
          <w:sz w:val="28"/>
          <w:szCs w:val="28"/>
        </w:rPr>
        <w:t xml:space="preserve">, </w:t>
      </w:r>
      <w:r w:rsidRPr="00581F68">
        <w:rPr>
          <w:sz w:val="28"/>
          <w:szCs w:val="28"/>
        </w:rPr>
        <w:t xml:space="preserve">soprattutto </w:t>
      </w:r>
      <w:r w:rsidR="00756C2E" w:rsidRPr="00581F68">
        <w:rPr>
          <w:sz w:val="28"/>
          <w:szCs w:val="28"/>
        </w:rPr>
        <w:t>se raffrontato con i paesi europei a noi più vicini</w:t>
      </w:r>
      <w:r w:rsidR="001E181D" w:rsidRPr="00581F68">
        <w:rPr>
          <w:sz w:val="28"/>
          <w:szCs w:val="28"/>
        </w:rPr>
        <w:t>. I</w:t>
      </w:r>
      <w:r w:rsidRPr="00581F68">
        <w:rPr>
          <w:sz w:val="28"/>
          <w:szCs w:val="28"/>
        </w:rPr>
        <w:t>nfatti quello italiano risulta essere il più basso</w:t>
      </w:r>
      <w:r w:rsidR="007534E4" w:rsidRPr="00581F68">
        <w:rPr>
          <w:sz w:val="28"/>
          <w:szCs w:val="28"/>
        </w:rPr>
        <w:t>,</w:t>
      </w:r>
      <w:r w:rsidRPr="00581F68">
        <w:rPr>
          <w:sz w:val="28"/>
          <w:szCs w:val="28"/>
        </w:rPr>
        <w:t xml:space="preserve"> con solo lo 0,19%</w:t>
      </w:r>
      <w:r w:rsidR="007534E4" w:rsidRPr="00581F68">
        <w:rPr>
          <w:sz w:val="28"/>
          <w:szCs w:val="28"/>
        </w:rPr>
        <w:t>,</w:t>
      </w:r>
      <w:r w:rsidRPr="00581F68">
        <w:rPr>
          <w:sz w:val="28"/>
          <w:szCs w:val="28"/>
        </w:rPr>
        <w:t xml:space="preserve"> confrontato con quello della </w:t>
      </w:r>
      <w:r w:rsidR="00756C2E" w:rsidRPr="00581F68">
        <w:rPr>
          <w:sz w:val="28"/>
          <w:szCs w:val="28"/>
        </w:rPr>
        <w:t xml:space="preserve">Francia </w:t>
      </w:r>
      <w:r w:rsidR="00282F82" w:rsidRPr="00581F68">
        <w:rPr>
          <w:sz w:val="28"/>
          <w:szCs w:val="28"/>
        </w:rPr>
        <w:t>0,2</w:t>
      </w:r>
      <w:r w:rsidR="001B369C">
        <w:rPr>
          <w:sz w:val="28"/>
          <w:szCs w:val="28"/>
        </w:rPr>
        <w:t>2</w:t>
      </w:r>
      <w:r w:rsidR="00756C2E" w:rsidRPr="00581F68">
        <w:rPr>
          <w:sz w:val="28"/>
          <w:szCs w:val="28"/>
        </w:rPr>
        <w:t xml:space="preserve">%, </w:t>
      </w:r>
      <w:r w:rsidR="00A82797" w:rsidRPr="00581F68">
        <w:rPr>
          <w:sz w:val="28"/>
          <w:szCs w:val="28"/>
        </w:rPr>
        <w:t xml:space="preserve">della </w:t>
      </w:r>
      <w:r w:rsidR="00756C2E" w:rsidRPr="00581F68">
        <w:rPr>
          <w:sz w:val="28"/>
          <w:szCs w:val="28"/>
        </w:rPr>
        <w:t xml:space="preserve">Germania </w:t>
      </w:r>
      <w:r w:rsidR="00282F82" w:rsidRPr="00581F68">
        <w:rPr>
          <w:sz w:val="28"/>
          <w:szCs w:val="28"/>
        </w:rPr>
        <w:t>0,3</w:t>
      </w:r>
      <w:r w:rsidR="001B369C">
        <w:rPr>
          <w:sz w:val="28"/>
          <w:szCs w:val="28"/>
        </w:rPr>
        <w:t>9</w:t>
      </w:r>
      <w:r w:rsidRPr="00581F68">
        <w:rPr>
          <w:sz w:val="28"/>
          <w:szCs w:val="28"/>
        </w:rPr>
        <w:t xml:space="preserve">%, </w:t>
      </w:r>
      <w:r w:rsidR="00A82797" w:rsidRPr="00581F68">
        <w:rPr>
          <w:sz w:val="28"/>
          <w:szCs w:val="28"/>
        </w:rPr>
        <w:t>dell’</w:t>
      </w:r>
      <w:r w:rsidR="00756C2E" w:rsidRPr="00581F68">
        <w:rPr>
          <w:sz w:val="28"/>
          <w:szCs w:val="28"/>
        </w:rPr>
        <w:t xml:space="preserve">Olanda </w:t>
      </w:r>
      <w:r w:rsidR="00282F82" w:rsidRPr="00581F68">
        <w:rPr>
          <w:sz w:val="28"/>
          <w:szCs w:val="28"/>
        </w:rPr>
        <w:t>0,</w:t>
      </w:r>
      <w:r w:rsidR="001B369C">
        <w:rPr>
          <w:sz w:val="28"/>
          <w:szCs w:val="28"/>
        </w:rPr>
        <w:t>38</w:t>
      </w:r>
      <w:r w:rsidR="00756C2E" w:rsidRPr="00581F68">
        <w:rPr>
          <w:sz w:val="28"/>
          <w:szCs w:val="28"/>
        </w:rPr>
        <w:t>%</w:t>
      </w:r>
      <w:r w:rsidR="00A82797" w:rsidRPr="00581F68">
        <w:rPr>
          <w:sz w:val="28"/>
          <w:szCs w:val="28"/>
        </w:rPr>
        <w:t>.</w:t>
      </w:r>
      <w:r w:rsidR="00756C2E" w:rsidRPr="00581F68">
        <w:rPr>
          <w:sz w:val="28"/>
          <w:szCs w:val="28"/>
        </w:rPr>
        <w:t xml:space="preserve"> </w:t>
      </w:r>
    </w:p>
    <w:p w:rsidR="00A82797" w:rsidRPr="00581F68" w:rsidRDefault="00A82797" w:rsidP="00756C2E">
      <w:pPr>
        <w:pStyle w:val="NormaleWeb"/>
        <w:spacing w:before="0" w:after="0"/>
        <w:jc w:val="both"/>
        <w:rPr>
          <w:sz w:val="28"/>
          <w:szCs w:val="28"/>
        </w:rPr>
      </w:pPr>
    </w:p>
    <w:p w:rsidR="00CF6F38" w:rsidRPr="00581F68" w:rsidRDefault="00756C2E" w:rsidP="00756C2E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Temo </w:t>
      </w:r>
      <w:r w:rsidR="00E57913" w:rsidRPr="00581F68">
        <w:rPr>
          <w:sz w:val="28"/>
          <w:szCs w:val="28"/>
        </w:rPr>
        <w:t>quindi</w:t>
      </w:r>
      <w:r w:rsidRPr="00581F68">
        <w:rPr>
          <w:sz w:val="28"/>
          <w:szCs w:val="28"/>
        </w:rPr>
        <w:t xml:space="preserve"> </w:t>
      </w:r>
      <w:r w:rsidR="001B369C">
        <w:rPr>
          <w:sz w:val="28"/>
          <w:szCs w:val="28"/>
        </w:rPr>
        <w:t xml:space="preserve">che </w:t>
      </w:r>
      <w:r w:rsidRPr="00581F68">
        <w:rPr>
          <w:sz w:val="28"/>
          <w:szCs w:val="28"/>
        </w:rPr>
        <w:t xml:space="preserve">la manovra </w:t>
      </w:r>
      <w:r w:rsidR="00E57913" w:rsidRPr="00581F68">
        <w:rPr>
          <w:sz w:val="28"/>
          <w:szCs w:val="28"/>
        </w:rPr>
        <w:t>economica</w:t>
      </w:r>
      <w:r w:rsidRPr="00581F68">
        <w:rPr>
          <w:sz w:val="28"/>
          <w:szCs w:val="28"/>
        </w:rPr>
        <w:t xml:space="preserve"> di ottobre po</w:t>
      </w:r>
      <w:r w:rsidR="001B369C">
        <w:rPr>
          <w:sz w:val="28"/>
          <w:szCs w:val="28"/>
        </w:rPr>
        <w:t>ssa</w:t>
      </w:r>
      <w:r w:rsidRPr="00581F68">
        <w:rPr>
          <w:sz w:val="28"/>
          <w:szCs w:val="28"/>
        </w:rPr>
        <w:t xml:space="preserve"> </w:t>
      </w:r>
      <w:r w:rsidR="001E181D" w:rsidRPr="00581F68">
        <w:rPr>
          <w:sz w:val="28"/>
          <w:szCs w:val="28"/>
        </w:rPr>
        <w:t>ulteriormente ridurre i</w:t>
      </w:r>
      <w:r w:rsidRPr="00581F68">
        <w:rPr>
          <w:sz w:val="28"/>
          <w:szCs w:val="28"/>
        </w:rPr>
        <w:t>l bil</w:t>
      </w:r>
      <w:r w:rsidR="00E57913" w:rsidRPr="00581F68">
        <w:rPr>
          <w:sz w:val="28"/>
          <w:szCs w:val="28"/>
        </w:rPr>
        <w:t xml:space="preserve">ancio </w:t>
      </w:r>
      <w:r w:rsidRPr="00581F68">
        <w:rPr>
          <w:sz w:val="28"/>
          <w:szCs w:val="28"/>
        </w:rPr>
        <w:t xml:space="preserve">del MAECI. </w:t>
      </w:r>
      <w:r w:rsidR="00E57913" w:rsidRPr="00581F68">
        <w:rPr>
          <w:sz w:val="28"/>
          <w:szCs w:val="28"/>
        </w:rPr>
        <w:t xml:space="preserve">Considerata la sua </w:t>
      </w:r>
      <w:r w:rsidRPr="00581F68">
        <w:rPr>
          <w:sz w:val="28"/>
          <w:szCs w:val="28"/>
        </w:rPr>
        <w:t>esigu</w:t>
      </w:r>
      <w:r w:rsidR="00E57913" w:rsidRPr="00581F68">
        <w:rPr>
          <w:sz w:val="28"/>
          <w:szCs w:val="28"/>
        </w:rPr>
        <w:t xml:space="preserve">ità </w:t>
      </w:r>
      <w:r w:rsidRPr="00581F68">
        <w:rPr>
          <w:sz w:val="28"/>
          <w:szCs w:val="28"/>
        </w:rPr>
        <w:t>e</w:t>
      </w:r>
      <w:r w:rsidR="00E57913" w:rsidRPr="00581F68">
        <w:rPr>
          <w:sz w:val="28"/>
          <w:szCs w:val="28"/>
        </w:rPr>
        <w:t xml:space="preserve"> il fatto che i fondi devono essere ripartiti</w:t>
      </w:r>
      <w:r w:rsidRPr="00581F68">
        <w:rPr>
          <w:sz w:val="28"/>
          <w:szCs w:val="28"/>
        </w:rPr>
        <w:t xml:space="preserve"> tra tante sedi in tutto il mondo</w:t>
      </w:r>
      <w:r w:rsidR="00CF6F38" w:rsidRPr="00581F68">
        <w:rPr>
          <w:sz w:val="28"/>
          <w:szCs w:val="28"/>
        </w:rPr>
        <w:t xml:space="preserve">, </w:t>
      </w:r>
      <w:r w:rsidR="00E57913" w:rsidRPr="00581F68">
        <w:rPr>
          <w:sz w:val="28"/>
          <w:szCs w:val="28"/>
        </w:rPr>
        <w:t xml:space="preserve">ciò </w:t>
      </w:r>
      <w:r w:rsidR="00CF6F38" w:rsidRPr="00581F68">
        <w:rPr>
          <w:sz w:val="28"/>
          <w:szCs w:val="28"/>
        </w:rPr>
        <w:t xml:space="preserve">metterebbe a rischio il funzionamento stesso del </w:t>
      </w:r>
      <w:r w:rsidR="00E57913" w:rsidRPr="00581F68">
        <w:rPr>
          <w:sz w:val="28"/>
          <w:szCs w:val="28"/>
        </w:rPr>
        <w:t>M</w:t>
      </w:r>
      <w:r w:rsidR="00CF6F38" w:rsidRPr="00581F68">
        <w:rPr>
          <w:sz w:val="28"/>
          <w:szCs w:val="28"/>
        </w:rPr>
        <w:t>inistero.</w:t>
      </w:r>
    </w:p>
    <w:p w:rsidR="00A82797" w:rsidRPr="00581F68" w:rsidRDefault="00A82797" w:rsidP="008A1AE0">
      <w:pPr>
        <w:pStyle w:val="NormaleWeb"/>
        <w:spacing w:before="0" w:after="0"/>
        <w:jc w:val="both"/>
        <w:rPr>
          <w:sz w:val="28"/>
          <w:szCs w:val="28"/>
        </w:rPr>
      </w:pPr>
    </w:p>
    <w:p w:rsidR="008A1AE0" w:rsidRPr="00581F68" w:rsidRDefault="00F16B02" w:rsidP="008A1AE0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Conto sul fatto che lei difenda quest</w:t>
      </w:r>
      <w:r w:rsidR="0017588A" w:rsidRPr="00581F68">
        <w:rPr>
          <w:sz w:val="28"/>
          <w:szCs w:val="28"/>
        </w:rPr>
        <w:t>’Amministrazione</w:t>
      </w:r>
      <w:r w:rsidRPr="00581F68">
        <w:rPr>
          <w:sz w:val="28"/>
          <w:szCs w:val="28"/>
        </w:rPr>
        <w:t xml:space="preserve">, come </w:t>
      </w:r>
      <w:r w:rsidR="0017588A" w:rsidRPr="00581F68">
        <w:rPr>
          <w:sz w:val="28"/>
          <w:szCs w:val="28"/>
        </w:rPr>
        <w:t>mi auguro</w:t>
      </w:r>
      <w:r w:rsidRPr="00581F68">
        <w:rPr>
          <w:sz w:val="28"/>
          <w:szCs w:val="28"/>
        </w:rPr>
        <w:t xml:space="preserve"> abbia fatto nelle audizioni parlamentari di cui purtroppo non abbiamo avuto notizia, anche con una </w:t>
      </w:r>
      <w:r w:rsidRPr="00581F68">
        <w:rPr>
          <w:b/>
          <w:sz w:val="28"/>
          <w:szCs w:val="28"/>
        </w:rPr>
        <w:t xml:space="preserve">proposta </w:t>
      </w:r>
      <w:r w:rsidR="008A1AE0" w:rsidRPr="00581F68">
        <w:rPr>
          <w:b/>
          <w:sz w:val="28"/>
          <w:szCs w:val="28"/>
        </w:rPr>
        <w:t>di riforma</w:t>
      </w:r>
      <w:r w:rsidR="008A1AE0" w:rsidRPr="00581F68">
        <w:rPr>
          <w:sz w:val="28"/>
          <w:szCs w:val="28"/>
        </w:rPr>
        <w:t xml:space="preserve"> </w:t>
      </w:r>
      <w:r w:rsidRPr="00581F68">
        <w:rPr>
          <w:sz w:val="28"/>
          <w:szCs w:val="28"/>
        </w:rPr>
        <w:t xml:space="preserve">che la </w:t>
      </w:r>
      <w:r w:rsidRPr="00581F68">
        <w:rPr>
          <w:b/>
          <w:sz w:val="28"/>
          <w:szCs w:val="28"/>
        </w:rPr>
        <w:t>CGIL Esteri</w:t>
      </w:r>
      <w:r w:rsidRPr="00581F68">
        <w:rPr>
          <w:sz w:val="28"/>
          <w:szCs w:val="28"/>
        </w:rPr>
        <w:t xml:space="preserve"> chiede da anni, </w:t>
      </w:r>
      <w:r w:rsidR="008A1AE0" w:rsidRPr="00581F68">
        <w:rPr>
          <w:sz w:val="28"/>
          <w:szCs w:val="28"/>
        </w:rPr>
        <w:t>programmat</w:t>
      </w:r>
      <w:r w:rsidRPr="00581F68">
        <w:rPr>
          <w:sz w:val="28"/>
          <w:szCs w:val="28"/>
        </w:rPr>
        <w:t>a</w:t>
      </w:r>
      <w:r w:rsidR="008A1AE0" w:rsidRPr="00581F68">
        <w:rPr>
          <w:sz w:val="28"/>
          <w:szCs w:val="28"/>
        </w:rPr>
        <w:t xml:space="preserve"> in modo razionale e lungimirante</w:t>
      </w:r>
      <w:r w:rsidR="003333FE" w:rsidRPr="00581F68">
        <w:rPr>
          <w:sz w:val="28"/>
          <w:szCs w:val="28"/>
        </w:rPr>
        <w:t xml:space="preserve"> e</w:t>
      </w:r>
      <w:r w:rsidR="008A1AE0" w:rsidRPr="00581F68">
        <w:rPr>
          <w:sz w:val="28"/>
          <w:szCs w:val="28"/>
        </w:rPr>
        <w:t xml:space="preserve"> che consenta l’ottimizzazione di tutte le risorse, sia umane </w:t>
      </w:r>
      <w:r w:rsidRPr="00581F68">
        <w:rPr>
          <w:sz w:val="28"/>
          <w:szCs w:val="28"/>
        </w:rPr>
        <w:t>che strumentali della Farnesina.</w:t>
      </w:r>
    </w:p>
    <w:p w:rsidR="00F16B02" w:rsidRPr="00581F68" w:rsidRDefault="00F16B02" w:rsidP="008A1AE0">
      <w:pPr>
        <w:pStyle w:val="NormaleWeb"/>
        <w:spacing w:before="0" w:after="0"/>
        <w:jc w:val="both"/>
        <w:rPr>
          <w:sz w:val="28"/>
          <w:szCs w:val="28"/>
        </w:rPr>
      </w:pPr>
    </w:p>
    <w:p w:rsidR="00A82797" w:rsidRDefault="00F16B02" w:rsidP="00756C2E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Affronto ora le tematiche che riguardano più strettamente il </w:t>
      </w:r>
      <w:r w:rsidRPr="00581F68">
        <w:rPr>
          <w:b/>
          <w:sz w:val="28"/>
          <w:szCs w:val="28"/>
        </w:rPr>
        <w:t>personale</w:t>
      </w:r>
      <w:r w:rsidRPr="00581F68">
        <w:rPr>
          <w:sz w:val="28"/>
          <w:szCs w:val="28"/>
        </w:rPr>
        <w:t>.</w:t>
      </w:r>
    </w:p>
    <w:p w:rsidR="0069744E" w:rsidRDefault="0069744E" w:rsidP="00756C2E">
      <w:pPr>
        <w:pStyle w:val="NormaleWeb"/>
        <w:spacing w:before="0" w:after="0"/>
        <w:jc w:val="both"/>
        <w:rPr>
          <w:sz w:val="28"/>
          <w:szCs w:val="28"/>
        </w:rPr>
      </w:pPr>
    </w:p>
    <w:p w:rsidR="00E55535" w:rsidRPr="00581F68" w:rsidRDefault="00E55535" w:rsidP="00E55535">
      <w:pPr>
        <w:pStyle w:val="Normale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 di tutto ci tengo a sottolineare che </w:t>
      </w:r>
      <w:r w:rsidRPr="00581F68">
        <w:rPr>
          <w:sz w:val="28"/>
          <w:szCs w:val="28"/>
        </w:rPr>
        <w:t xml:space="preserve">sono dispiaciuta </w:t>
      </w:r>
      <w:r>
        <w:rPr>
          <w:sz w:val="28"/>
          <w:szCs w:val="28"/>
        </w:rPr>
        <w:t>per il</w:t>
      </w:r>
      <w:r w:rsidRPr="00581F68">
        <w:rPr>
          <w:sz w:val="28"/>
          <w:szCs w:val="28"/>
        </w:rPr>
        <w:t xml:space="preserve"> fatto che nel suo discorso di apertura della Conferenza degli Ambasciatori lei non abbia ritenuto di dover ringraziare oltre ai Diplomatici, anche il restante personale per la serietà e la dedizione con cui svolge quotidianamente il “sovraccarico” di lavoro.</w:t>
      </w:r>
    </w:p>
    <w:p w:rsidR="00E55535" w:rsidRPr="00581F68" w:rsidRDefault="00E55535" w:rsidP="00E55535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Sarebbe interessante sapere quant</w:t>
      </w:r>
      <w:r w:rsidR="001B369C">
        <w:rPr>
          <w:sz w:val="28"/>
          <w:szCs w:val="28"/>
        </w:rPr>
        <w:t>e</w:t>
      </w:r>
      <w:r w:rsidRPr="00581F68">
        <w:rPr>
          <w:sz w:val="28"/>
          <w:szCs w:val="28"/>
        </w:rPr>
        <w:t xml:space="preserve"> ore di lavoro straordinario vengono regalate ogni anno all’Amministrazione, soprattutto all’estero</w:t>
      </w:r>
      <w:r>
        <w:rPr>
          <w:sz w:val="28"/>
          <w:szCs w:val="28"/>
        </w:rPr>
        <w:t>.</w:t>
      </w:r>
    </w:p>
    <w:p w:rsidR="00E55535" w:rsidRDefault="00E55535" w:rsidP="00756C2E">
      <w:pPr>
        <w:pStyle w:val="NormaleWeb"/>
        <w:spacing w:before="0" w:after="0"/>
        <w:jc w:val="both"/>
        <w:rPr>
          <w:sz w:val="28"/>
          <w:szCs w:val="28"/>
        </w:rPr>
      </w:pPr>
    </w:p>
    <w:p w:rsidR="00F16B02" w:rsidRDefault="00E2559C" w:rsidP="00756C2E">
      <w:pPr>
        <w:pStyle w:val="Normale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I dati numerici,</w:t>
      </w:r>
      <w:r w:rsidR="00F16B02" w:rsidRPr="00581F68">
        <w:rPr>
          <w:sz w:val="28"/>
          <w:szCs w:val="28"/>
        </w:rPr>
        <w:t xml:space="preserve"> forniti dall’Amministrazione stessa, parlano chiaro:</w:t>
      </w:r>
    </w:p>
    <w:p w:rsidR="00F76745" w:rsidRPr="00B34533" w:rsidRDefault="00F76745" w:rsidP="00B34533">
      <w:pPr>
        <w:pStyle w:val="NormaleWeb"/>
        <w:numPr>
          <w:ilvl w:val="0"/>
          <w:numId w:val="3"/>
        </w:numPr>
        <w:spacing w:before="0" w:after="0"/>
        <w:jc w:val="both"/>
        <w:rPr>
          <w:sz w:val="28"/>
        </w:rPr>
      </w:pPr>
      <w:r w:rsidRPr="00B34533">
        <w:rPr>
          <w:sz w:val="28"/>
        </w:rPr>
        <w:t>i diplomatici sono 996, con un aumento dell’8,38% rispetto al 2009</w:t>
      </w:r>
      <w:r w:rsidR="0069744E" w:rsidRPr="00B34533">
        <w:rPr>
          <w:sz w:val="28"/>
        </w:rPr>
        <w:t>;</w:t>
      </w:r>
    </w:p>
    <w:p w:rsidR="00F76745" w:rsidRPr="00B34533" w:rsidRDefault="00F76745" w:rsidP="00B34533">
      <w:pPr>
        <w:pStyle w:val="NormaleWeb"/>
        <w:numPr>
          <w:ilvl w:val="0"/>
          <w:numId w:val="3"/>
        </w:numPr>
        <w:spacing w:before="0" w:after="0"/>
        <w:jc w:val="both"/>
        <w:rPr>
          <w:sz w:val="28"/>
        </w:rPr>
      </w:pPr>
      <w:r w:rsidRPr="00B34533">
        <w:rPr>
          <w:sz w:val="28"/>
        </w:rPr>
        <w:t xml:space="preserve">le AA.FF. sono 2.497, </w:t>
      </w:r>
      <w:r w:rsidR="0069744E" w:rsidRPr="00B34533">
        <w:rPr>
          <w:sz w:val="28"/>
        </w:rPr>
        <w:t xml:space="preserve">metà a Roma e metà all’estero, </w:t>
      </w:r>
      <w:r w:rsidRPr="00B34533">
        <w:rPr>
          <w:sz w:val="28"/>
        </w:rPr>
        <w:t xml:space="preserve">con una </w:t>
      </w:r>
      <w:r w:rsidR="005D6910" w:rsidRPr="00B34533">
        <w:rPr>
          <w:sz w:val="28"/>
        </w:rPr>
        <w:t>rid</w:t>
      </w:r>
      <w:r w:rsidRPr="00B34533">
        <w:rPr>
          <w:sz w:val="28"/>
        </w:rPr>
        <w:t>uzione del 30,87% rispetto al 2009</w:t>
      </w:r>
      <w:r w:rsidR="0069744E" w:rsidRPr="00B34533">
        <w:rPr>
          <w:sz w:val="28"/>
        </w:rPr>
        <w:t>;</w:t>
      </w:r>
    </w:p>
    <w:p w:rsidR="00F76745" w:rsidRPr="00B34533" w:rsidRDefault="005D6910" w:rsidP="00B34533">
      <w:pPr>
        <w:pStyle w:val="NormaleWeb"/>
        <w:numPr>
          <w:ilvl w:val="0"/>
          <w:numId w:val="3"/>
        </w:numPr>
        <w:spacing w:before="0" w:after="0"/>
        <w:jc w:val="both"/>
        <w:rPr>
          <w:sz w:val="28"/>
        </w:rPr>
      </w:pPr>
      <w:r w:rsidRPr="00B34533">
        <w:rPr>
          <w:sz w:val="28"/>
        </w:rPr>
        <w:t>gli</w:t>
      </w:r>
      <w:r w:rsidR="00F76745" w:rsidRPr="00B34533">
        <w:rPr>
          <w:sz w:val="28"/>
        </w:rPr>
        <w:t xml:space="preserve"> APC sono 93, </w:t>
      </w:r>
      <w:r w:rsidR="0069744E" w:rsidRPr="00B34533">
        <w:rPr>
          <w:sz w:val="28"/>
        </w:rPr>
        <w:t xml:space="preserve">1/3 a Roma e 2/3 all’estero, </w:t>
      </w:r>
      <w:r w:rsidR="00F76745" w:rsidRPr="00B34533">
        <w:rPr>
          <w:sz w:val="28"/>
        </w:rPr>
        <w:t xml:space="preserve">con una </w:t>
      </w:r>
      <w:r w:rsidRPr="00B34533">
        <w:rPr>
          <w:sz w:val="28"/>
        </w:rPr>
        <w:t>rid</w:t>
      </w:r>
      <w:r w:rsidR="00F76745" w:rsidRPr="00B34533">
        <w:rPr>
          <w:sz w:val="28"/>
        </w:rPr>
        <w:t>uzione del 48,04% rispetto al 2009</w:t>
      </w:r>
      <w:r w:rsidR="0069744E" w:rsidRPr="00B34533">
        <w:rPr>
          <w:sz w:val="28"/>
        </w:rPr>
        <w:t>;</w:t>
      </w:r>
    </w:p>
    <w:p w:rsidR="00F76745" w:rsidRDefault="005D6910" w:rsidP="00B34533">
      <w:pPr>
        <w:pStyle w:val="NormaleWeb"/>
        <w:numPr>
          <w:ilvl w:val="0"/>
          <w:numId w:val="3"/>
        </w:numPr>
        <w:spacing w:before="0" w:after="0"/>
        <w:jc w:val="both"/>
        <w:rPr>
          <w:sz w:val="28"/>
        </w:rPr>
      </w:pPr>
      <w:r w:rsidRPr="00B34533">
        <w:rPr>
          <w:sz w:val="28"/>
        </w:rPr>
        <w:t>i contrattisti</w:t>
      </w:r>
      <w:r w:rsidR="00F76745" w:rsidRPr="00B34533">
        <w:rPr>
          <w:sz w:val="28"/>
        </w:rPr>
        <w:t xml:space="preserve"> sono </w:t>
      </w:r>
      <w:r w:rsidRPr="00B34533">
        <w:rPr>
          <w:sz w:val="28"/>
        </w:rPr>
        <w:t>2716</w:t>
      </w:r>
      <w:r w:rsidR="00F76745" w:rsidRPr="00B34533">
        <w:rPr>
          <w:sz w:val="28"/>
        </w:rPr>
        <w:t xml:space="preserve">, con un aumento </w:t>
      </w:r>
      <w:r w:rsidRPr="00B34533">
        <w:rPr>
          <w:sz w:val="28"/>
        </w:rPr>
        <w:t>del 15,62</w:t>
      </w:r>
      <w:r w:rsidR="00F76745" w:rsidRPr="00B34533">
        <w:rPr>
          <w:sz w:val="28"/>
        </w:rPr>
        <w:t>% rispetto al 2009</w:t>
      </w:r>
      <w:r w:rsidR="0069744E" w:rsidRPr="00B34533">
        <w:rPr>
          <w:sz w:val="28"/>
        </w:rPr>
        <w:t>.</w:t>
      </w:r>
      <w:r w:rsidR="00F76745" w:rsidRPr="00B34533">
        <w:rPr>
          <w:sz w:val="28"/>
        </w:rPr>
        <w:t xml:space="preserve"> </w:t>
      </w:r>
    </w:p>
    <w:p w:rsidR="0001220C" w:rsidRDefault="0001220C" w:rsidP="0001220C">
      <w:pPr>
        <w:pStyle w:val="NormaleWeb"/>
        <w:spacing w:before="0" w:after="0"/>
        <w:jc w:val="both"/>
        <w:rPr>
          <w:sz w:val="28"/>
        </w:rPr>
      </w:pPr>
    </w:p>
    <w:p w:rsidR="0001220C" w:rsidRDefault="0001220C" w:rsidP="0001220C">
      <w:pPr>
        <w:pStyle w:val="NormaleWeb"/>
        <w:spacing w:before="0" w:after="0"/>
        <w:jc w:val="both"/>
        <w:rPr>
          <w:sz w:val="28"/>
        </w:rPr>
      </w:pPr>
    </w:p>
    <w:p w:rsidR="0001220C" w:rsidRPr="00B34533" w:rsidRDefault="0001220C" w:rsidP="0001220C">
      <w:pPr>
        <w:pStyle w:val="NormaleWeb"/>
        <w:spacing w:before="0" w:after="0"/>
        <w:jc w:val="both"/>
        <w:rPr>
          <w:sz w:val="28"/>
        </w:rPr>
      </w:pPr>
    </w:p>
    <w:p w:rsidR="005831DA" w:rsidRPr="00581F68" w:rsidRDefault="005831DA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4A41E1" w:rsidRPr="00581F68" w:rsidRDefault="005D6910" w:rsidP="005831DA">
      <w:pPr>
        <w:pStyle w:val="NormaleWeb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F907FE">
        <w:rPr>
          <w:sz w:val="28"/>
          <w:szCs w:val="28"/>
        </w:rPr>
        <w:t>a</w:t>
      </w:r>
      <w:r>
        <w:rPr>
          <w:sz w:val="28"/>
          <w:szCs w:val="28"/>
        </w:rPr>
        <w:t xml:space="preserve"> riduzione drammatica delle AA.FF. e degli APC che ho appena evidenziato,</w:t>
      </w:r>
      <w:r w:rsidR="008A1AE0" w:rsidRPr="00581F68">
        <w:rPr>
          <w:sz w:val="28"/>
          <w:szCs w:val="28"/>
        </w:rPr>
        <w:t xml:space="preserve"> </w:t>
      </w:r>
      <w:r>
        <w:rPr>
          <w:sz w:val="28"/>
          <w:szCs w:val="28"/>
        </w:rPr>
        <w:t>è stat</w:t>
      </w:r>
      <w:r w:rsidR="00B34533">
        <w:rPr>
          <w:sz w:val="28"/>
          <w:szCs w:val="28"/>
        </w:rPr>
        <w:t>a</w:t>
      </w:r>
      <w:r>
        <w:rPr>
          <w:sz w:val="28"/>
          <w:szCs w:val="28"/>
        </w:rPr>
        <w:t xml:space="preserve"> causat</w:t>
      </w:r>
      <w:r w:rsidR="00B34533">
        <w:rPr>
          <w:sz w:val="28"/>
          <w:szCs w:val="28"/>
        </w:rPr>
        <w:t>a</w:t>
      </w:r>
      <w:r>
        <w:rPr>
          <w:sz w:val="28"/>
          <w:szCs w:val="28"/>
        </w:rPr>
        <w:t xml:space="preserve"> essenzialmente dal </w:t>
      </w:r>
      <w:r w:rsidR="008A1AE0" w:rsidRPr="00581F68">
        <w:rPr>
          <w:sz w:val="28"/>
          <w:szCs w:val="28"/>
        </w:rPr>
        <w:t xml:space="preserve">blocco del </w:t>
      </w:r>
      <w:r w:rsidR="008A1AE0" w:rsidRPr="00581F68">
        <w:rPr>
          <w:i/>
          <w:sz w:val="28"/>
          <w:szCs w:val="28"/>
        </w:rPr>
        <w:t>turn over</w:t>
      </w:r>
      <w:r w:rsidR="007A60FA" w:rsidRPr="00581F68">
        <w:rPr>
          <w:i/>
          <w:sz w:val="28"/>
          <w:szCs w:val="28"/>
        </w:rPr>
        <w:t>.</w:t>
      </w:r>
    </w:p>
    <w:p w:rsidR="002C268C" w:rsidRDefault="002C268C" w:rsidP="002C268C">
      <w:pPr>
        <w:pStyle w:val="NormaleWeb"/>
        <w:spacing w:before="0" w:after="0"/>
        <w:jc w:val="both"/>
        <w:rPr>
          <w:sz w:val="28"/>
          <w:szCs w:val="28"/>
        </w:rPr>
      </w:pPr>
    </w:p>
    <w:p w:rsidR="00C679F8" w:rsidRPr="00581F68" w:rsidRDefault="00F546CF" w:rsidP="002C268C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Diversa è la situazione del </w:t>
      </w:r>
      <w:r w:rsidRPr="00581F68">
        <w:rPr>
          <w:b/>
          <w:sz w:val="28"/>
          <w:szCs w:val="28"/>
        </w:rPr>
        <w:t>personale diplomatico</w:t>
      </w:r>
      <w:r w:rsidRPr="00581F68">
        <w:rPr>
          <w:sz w:val="28"/>
          <w:szCs w:val="28"/>
        </w:rPr>
        <w:t xml:space="preserve">, </w:t>
      </w:r>
      <w:r w:rsidR="00C679F8" w:rsidRPr="00581F68">
        <w:rPr>
          <w:sz w:val="28"/>
          <w:szCs w:val="28"/>
        </w:rPr>
        <w:t>per il quale l’Amministrazione h</w:t>
      </w:r>
      <w:r w:rsidRPr="00581F68">
        <w:rPr>
          <w:sz w:val="28"/>
          <w:szCs w:val="28"/>
        </w:rPr>
        <w:t xml:space="preserve">a continuato a </w:t>
      </w:r>
      <w:r w:rsidR="00C679F8" w:rsidRPr="00581F68">
        <w:rPr>
          <w:sz w:val="28"/>
          <w:szCs w:val="28"/>
        </w:rPr>
        <w:t>bandire</w:t>
      </w:r>
      <w:r w:rsidRPr="00581F68">
        <w:rPr>
          <w:sz w:val="28"/>
          <w:szCs w:val="28"/>
        </w:rPr>
        <w:t xml:space="preserve"> il concorso di assunzione ogni anno</w:t>
      </w:r>
      <w:r w:rsidR="00C679F8" w:rsidRPr="00581F68">
        <w:rPr>
          <w:sz w:val="28"/>
          <w:szCs w:val="28"/>
        </w:rPr>
        <w:t>,</w:t>
      </w:r>
      <w:r w:rsidRPr="00581F68">
        <w:rPr>
          <w:sz w:val="28"/>
          <w:szCs w:val="28"/>
        </w:rPr>
        <w:t xml:space="preserve"> creando </w:t>
      </w:r>
      <w:r w:rsidR="00C679F8" w:rsidRPr="00581F68">
        <w:rPr>
          <w:sz w:val="28"/>
          <w:szCs w:val="28"/>
        </w:rPr>
        <w:t xml:space="preserve">addirittura </w:t>
      </w:r>
      <w:r w:rsidR="007534E4" w:rsidRPr="00581F68">
        <w:rPr>
          <w:sz w:val="28"/>
          <w:szCs w:val="28"/>
        </w:rPr>
        <w:t>un’</w:t>
      </w:r>
      <w:r w:rsidRPr="00581F68">
        <w:rPr>
          <w:sz w:val="28"/>
          <w:szCs w:val="28"/>
        </w:rPr>
        <w:t>insoddisfazione diffusa soprattutto tra i giovani</w:t>
      </w:r>
      <w:r w:rsidR="00C679F8" w:rsidRPr="00581F68">
        <w:rPr>
          <w:sz w:val="28"/>
          <w:szCs w:val="28"/>
        </w:rPr>
        <w:t xml:space="preserve"> diplomatici</w:t>
      </w:r>
      <w:r w:rsidRPr="00581F68">
        <w:rPr>
          <w:sz w:val="28"/>
          <w:szCs w:val="28"/>
        </w:rPr>
        <w:t>, che vedono fortemente ridotte le possibilità di carriera</w:t>
      </w:r>
      <w:r w:rsidR="00C679F8" w:rsidRPr="00581F68">
        <w:rPr>
          <w:sz w:val="28"/>
          <w:szCs w:val="28"/>
        </w:rPr>
        <w:t xml:space="preserve"> (</w:t>
      </w:r>
      <w:r w:rsidR="00E832F0" w:rsidRPr="00581F68">
        <w:rPr>
          <w:sz w:val="28"/>
          <w:szCs w:val="28"/>
        </w:rPr>
        <w:t>l’organico dei Ministri Plenipotenziari</w:t>
      </w:r>
      <w:r w:rsidR="00E832F0" w:rsidRPr="00355D7D">
        <w:rPr>
          <w:sz w:val="28"/>
          <w:szCs w:val="28"/>
        </w:rPr>
        <w:t xml:space="preserve"> </w:t>
      </w:r>
      <w:r w:rsidR="00E832F0">
        <w:rPr>
          <w:sz w:val="28"/>
          <w:szCs w:val="28"/>
        </w:rPr>
        <w:t xml:space="preserve">è giunto a </w:t>
      </w:r>
      <w:r w:rsidR="00E832F0" w:rsidRPr="00581F68">
        <w:rPr>
          <w:sz w:val="28"/>
          <w:szCs w:val="28"/>
        </w:rPr>
        <w:t>saturazione</w:t>
      </w:r>
      <w:r w:rsidR="00C679F8" w:rsidRPr="00581F68">
        <w:rPr>
          <w:sz w:val="28"/>
          <w:szCs w:val="28"/>
        </w:rPr>
        <w:t>)</w:t>
      </w:r>
      <w:r w:rsidRPr="00581F68">
        <w:rPr>
          <w:sz w:val="28"/>
          <w:szCs w:val="28"/>
        </w:rPr>
        <w:t xml:space="preserve">. </w:t>
      </w:r>
    </w:p>
    <w:p w:rsidR="00A82797" w:rsidRPr="00581F68" w:rsidRDefault="00A82797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7A60FA" w:rsidRPr="00581F68" w:rsidRDefault="004A41E1" w:rsidP="005831DA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In</w:t>
      </w:r>
      <w:r w:rsidR="00C679F8" w:rsidRPr="00581F68">
        <w:rPr>
          <w:sz w:val="28"/>
          <w:szCs w:val="28"/>
        </w:rPr>
        <w:t>fine</w:t>
      </w:r>
      <w:r w:rsidRPr="00581F68">
        <w:rPr>
          <w:sz w:val="28"/>
          <w:szCs w:val="28"/>
        </w:rPr>
        <w:t>,</w:t>
      </w:r>
      <w:r w:rsidR="00F546CF" w:rsidRPr="00581F68">
        <w:rPr>
          <w:sz w:val="28"/>
          <w:szCs w:val="28"/>
        </w:rPr>
        <w:t xml:space="preserve"> il </w:t>
      </w:r>
      <w:r w:rsidRPr="00581F68">
        <w:rPr>
          <w:sz w:val="28"/>
          <w:szCs w:val="28"/>
        </w:rPr>
        <w:t xml:space="preserve">contingente del </w:t>
      </w:r>
      <w:r w:rsidR="00F546CF" w:rsidRPr="00581F68">
        <w:rPr>
          <w:b/>
          <w:sz w:val="28"/>
          <w:szCs w:val="28"/>
        </w:rPr>
        <w:t>personale a contratto</w:t>
      </w:r>
      <w:r w:rsidRPr="00581F68">
        <w:rPr>
          <w:sz w:val="28"/>
          <w:szCs w:val="28"/>
        </w:rPr>
        <w:t>, che è in servizio solo all’estero, è in continuo aumento</w:t>
      </w:r>
      <w:r w:rsidR="00EA0A21" w:rsidRPr="00581F68">
        <w:rPr>
          <w:sz w:val="28"/>
          <w:szCs w:val="28"/>
        </w:rPr>
        <w:t>. U</w:t>
      </w:r>
      <w:r w:rsidRPr="00581F68">
        <w:rPr>
          <w:sz w:val="28"/>
          <w:szCs w:val="28"/>
        </w:rPr>
        <w:t>ltimamente è stato elevato a 2.920 unità</w:t>
      </w:r>
      <w:r w:rsidR="00EA0A21" w:rsidRPr="00581F68">
        <w:rPr>
          <w:sz w:val="28"/>
          <w:szCs w:val="28"/>
        </w:rPr>
        <w:t>, pur rimanendo invariate le forti limitazioni di responsabilità rispetto al personale di ruolo.</w:t>
      </w:r>
      <w:r w:rsidR="00F546CF" w:rsidRPr="00581F68">
        <w:rPr>
          <w:sz w:val="28"/>
          <w:szCs w:val="28"/>
        </w:rPr>
        <w:t xml:space="preserve"> </w:t>
      </w:r>
    </w:p>
    <w:p w:rsidR="005831DA" w:rsidRPr="00581F68" w:rsidRDefault="005831DA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A82797" w:rsidRPr="00581F68" w:rsidRDefault="004A41E1" w:rsidP="005831DA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Ritengo, di conseguenza, che nella </w:t>
      </w:r>
      <w:r w:rsidRPr="00581F68">
        <w:rPr>
          <w:b/>
          <w:sz w:val="28"/>
          <w:szCs w:val="28"/>
        </w:rPr>
        <w:t>drammatica riduzione</w:t>
      </w:r>
      <w:r w:rsidRPr="00581F68">
        <w:rPr>
          <w:sz w:val="28"/>
          <w:szCs w:val="28"/>
        </w:rPr>
        <w:t xml:space="preserve"> del personale delle AA.FF. risiedano gran parte delle attuali criticità e limiti dell’azione della Farnesina, tanto più che n</w:t>
      </w:r>
      <w:r w:rsidR="008A1AE0" w:rsidRPr="00581F68">
        <w:rPr>
          <w:sz w:val="28"/>
          <w:szCs w:val="28"/>
        </w:rPr>
        <w:t>ei prossimi due anni</w:t>
      </w:r>
      <w:r w:rsidRPr="00581F68">
        <w:rPr>
          <w:sz w:val="28"/>
          <w:szCs w:val="28"/>
        </w:rPr>
        <w:t>,</w:t>
      </w:r>
      <w:r w:rsidR="008A1AE0" w:rsidRPr="00581F68">
        <w:rPr>
          <w:sz w:val="28"/>
          <w:szCs w:val="28"/>
        </w:rPr>
        <w:t xml:space="preserve"> </w:t>
      </w:r>
      <w:r w:rsidRPr="00581F68">
        <w:rPr>
          <w:sz w:val="28"/>
          <w:szCs w:val="28"/>
        </w:rPr>
        <w:t xml:space="preserve">a causa dell’elevata età media, si avrà </w:t>
      </w:r>
      <w:r w:rsidR="008A1AE0" w:rsidRPr="00581F68">
        <w:rPr>
          <w:sz w:val="28"/>
          <w:szCs w:val="28"/>
        </w:rPr>
        <w:t>un</w:t>
      </w:r>
      <w:r w:rsidR="00A82797" w:rsidRPr="00581F68">
        <w:rPr>
          <w:sz w:val="28"/>
          <w:szCs w:val="28"/>
        </w:rPr>
        <w:t>’</w:t>
      </w:r>
      <w:r w:rsidR="007A60FA" w:rsidRPr="00581F68">
        <w:rPr>
          <w:sz w:val="28"/>
          <w:szCs w:val="28"/>
        </w:rPr>
        <w:t>ulteriore importante contrazione</w:t>
      </w:r>
      <w:r w:rsidR="00C679F8" w:rsidRPr="00581F68">
        <w:rPr>
          <w:sz w:val="28"/>
          <w:szCs w:val="28"/>
        </w:rPr>
        <w:t xml:space="preserve"> di </w:t>
      </w:r>
      <w:r w:rsidR="005D6910">
        <w:rPr>
          <w:sz w:val="28"/>
          <w:szCs w:val="28"/>
        </w:rPr>
        <w:t>circa</w:t>
      </w:r>
      <w:r w:rsidR="00C679F8" w:rsidRPr="00581F68">
        <w:rPr>
          <w:sz w:val="28"/>
          <w:szCs w:val="28"/>
        </w:rPr>
        <w:t xml:space="preserve"> 3</w:t>
      </w:r>
      <w:r w:rsidR="007534E4" w:rsidRPr="00581F68">
        <w:rPr>
          <w:sz w:val="28"/>
          <w:szCs w:val="28"/>
        </w:rPr>
        <w:t>5</w:t>
      </w:r>
      <w:r w:rsidR="00C679F8" w:rsidRPr="00581F68">
        <w:rPr>
          <w:sz w:val="28"/>
          <w:szCs w:val="28"/>
        </w:rPr>
        <w:t>0 unità.</w:t>
      </w:r>
      <w:r w:rsidR="00017B6B" w:rsidRPr="00581F68">
        <w:rPr>
          <w:sz w:val="28"/>
          <w:szCs w:val="28"/>
        </w:rPr>
        <w:t xml:space="preserve"> </w:t>
      </w:r>
    </w:p>
    <w:p w:rsidR="00A82797" w:rsidRPr="00581F68" w:rsidRDefault="00A82797" w:rsidP="005831DA">
      <w:pPr>
        <w:pStyle w:val="NormaleWeb"/>
        <w:spacing w:before="0" w:after="0"/>
        <w:jc w:val="both"/>
        <w:rPr>
          <w:sz w:val="28"/>
          <w:szCs w:val="28"/>
        </w:rPr>
      </w:pPr>
    </w:p>
    <w:p w:rsidR="00017B6B" w:rsidRPr="00581F68" w:rsidRDefault="004A41E1" w:rsidP="005831DA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Questo comporterà ad esempio che </w:t>
      </w:r>
      <w:r w:rsidR="007A60FA" w:rsidRPr="00581F68">
        <w:rPr>
          <w:sz w:val="28"/>
          <w:szCs w:val="28"/>
        </w:rPr>
        <w:t xml:space="preserve">all’estero </w:t>
      </w:r>
      <w:r w:rsidRPr="00581F68">
        <w:rPr>
          <w:sz w:val="28"/>
          <w:szCs w:val="28"/>
        </w:rPr>
        <w:t xml:space="preserve">si </w:t>
      </w:r>
      <w:r w:rsidR="00E55535">
        <w:rPr>
          <w:sz w:val="28"/>
          <w:szCs w:val="28"/>
        </w:rPr>
        <w:t>arriverà ad</w:t>
      </w:r>
      <w:r w:rsidRPr="00581F68">
        <w:rPr>
          <w:sz w:val="28"/>
          <w:szCs w:val="28"/>
        </w:rPr>
        <w:t xml:space="preserve"> </w:t>
      </w:r>
      <w:r w:rsidR="007A60FA" w:rsidRPr="00581F68">
        <w:rPr>
          <w:sz w:val="28"/>
          <w:szCs w:val="28"/>
        </w:rPr>
        <w:t xml:space="preserve">una </w:t>
      </w:r>
      <w:r w:rsidR="008A1AE0" w:rsidRPr="00581F68">
        <w:rPr>
          <w:sz w:val="28"/>
          <w:szCs w:val="28"/>
        </w:rPr>
        <w:t xml:space="preserve">presenza </w:t>
      </w:r>
      <w:r w:rsidR="007A60FA" w:rsidRPr="00581F68">
        <w:rPr>
          <w:sz w:val="28"/>
          <w:szCs w:val="28"/>
        </w:rPr>
        <w:t>media</w:t>
      </w:r>
      <w:r w:rsidR="00017B6B" w:rsidRPr="00581F68">
        <w:rPr>
          <w:sz w:val="28"/>
          <w:szCs w:val="28"/>
        </w:rPr>
        <w:t xml:space="preserve"> di AA.FF. </w:t>
      </w:r>
      <w:r w:rsidR="008A1AE0" w:rsidRPr="00581F68">
        <w:rPr>
          <w:sz w:val="28"/>
          <w:szCs w:val="28"/>
        </w:rPr>
        <w:t xml:space="preserve">pari </w:t>
      </w:r>
      <w:r w:rsidR="007A60FA" w:rsidRPr="00581F68">
        <w:rPr>
          <w:sz w:val="28"/>
          <w:szCs w:val="28"/>
        </w:rPr>
        <w:t xml:space="preserve">a </w:t>
      </w:r>
      <w:r w:rsidR="008A1AE0" w:rsidRPr="00581F68">
        <w:rPr>
          <w:sz w:val="28"/>
          <w:szCs w:val="28"/>
        </w:rPr>
        <w:t xml:space="preserve">circa </w:t>
      </w:r>
      <w:r w:rsidR="003E5D4C" w:rsidRPr="00682031">
        <w:rPr>
          <w:sz w:val="28"/>
          <w:szCs w:val="28"/>
        </w:rPr>
        <w:t>4,</w:t>
      </w:r>
      <w:r w:rsidR="00682031" w:rsidRPr="00682031">
        <w:rPr>
          <w:sz w:val="28"/>
          <w:szCs w:val="28"/>
        </w:rPr>
        <w:t xml:space="preserve">8 </w:t>
      </w:r>
      <w:r w:rsidR="008A1AE0" w:rsidRPr="00682031">
        <w:rPr>
          <w:sz w:val="28"/>
          <w:szCs w:val="28"/>
        </w:rPr>
        <w:t>persone per Sede</w:t>
      </w:r>
      <w:r w:rsidR="001B369C">
        <w:rPr>
          <w:sz w:val="28"/>
          <w:szCs w:val="28"/>
        </w:rPr>
        <w:t>:</w:t>
      </w:r>
      <w:r w:rsidR="007A60FA" w:rsidRPr="00581F68">
        <w:rPr>
          <w:sz w:val="28"/>
          <w:szCs w:val="28"/>
        </w:rPr>
        <w:t xml:space="preserve"> </w:t>
      </w:r>
      <w:r w:rsidR="008A1AE0" w:rsidRPr="00581F68">
        <w:rPr>
          <w:sz w:val="28"/>
          <w:szCs w:val="28"/>
        </w:rPr>
        <w:t xml:space="preserve">paradossalmente ben al di sotto del numero di personale necessario a garantire i servizi minimi </w:t>
      </w:r>
      <w:r w:rsidR="00017B6B" w:rsidRPr="00581F68">
        <w:rPr>
          <w:sz w:val="28"/>
          <w:szCs w:val="28"/>
        </w:rPr>
        <w:t>essenziali previsti</w:t>
      </w:r>
      <w:r w:rsidR="008A1AE0" w:rsidRPr="00581F68">
        <w:rPr>
          <w:sz w:val="28"/>
          <w:szCs w:val="28"/>
        </w:rPr>
        <w:t xml:space="preserve"> dalla normativa</w:t>
      </w:r>
      <w:r w:rsidR="007A60FA" w:rsidRPr="00581F68">
        <w:rPr>
          <w:sz w:val="28"/>
          <w:szCs w:val="28"/>
        </w:rPr>
        <w:t xml:space="preserve"> in caso di sciopero</w:t>
      </w:r>
      <w:r w:rsidR="00017B6B" w:rsidRPr="00581F68">
        <w:rPr>
          <w:sz w:val="28"/>
          <w:szCs w:val="28"/>
        </w:rPr>
        <w:t>!!</w:t>
      </w:r>
    </w:p>
    <w:p w:rsidR="00B34533" w:rsidRDefault="00B34533" w:rsidP="008A1AE0">
      <w:pPr>
        <w:pStyle w:val="NormaleWeb"/>
        <w:spacing w:before="0" w:after="0"/>
        <w:jc w:val="both"/>
        <w:rPr>
          <w:sz w:val="28"/>
          <w:szCs w:val="28"/>
        </w:rPr>
      </w:pPr>
    </w:p>
    <w:p w:rsidR="008A1AE0" w:rsidRPr="00581F68" w:rsidRDefault="00F546CF" w:rsidP="008A1AE0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Analizzando poi il </w:t>
      </w:r>
      <w:r w:rsidRPr="00581F68">
        <w:rPr>
          <w:b/>
          <w:sz w:val="28"/>
          <w:szCs w:val="28"/>
        </w:rPr>
        <w:t>rapporto</w:t>
      </w:r>
      <w:r w:rsidRPr="00581F68">
        <w:rPr>
          <w:sz w:val="28"/>
          <w:szCs w:val="28"/>
        </w:rPr>
        <w:t xml:space="preserve"> tra la dirigenza e il personale delle AA.FF è evidente </w:t>
      </w:r>
      <w:r w:rsidR="008A1AE0" w:rsidRPr="00581F68">
        <w:rPr>
          <w:sz w:val="28"/>
          <w:szCs w:val="28"/>
        </w:rPr>
        <w:t xml:space="preserve">un forte squilibrio: </w:t>
      </w:r>
    </w:p>
    <w:p w:rsidR="007E7FC9" w:rsidRPr="001B369C" w:rsidRDefault="007E7FC9" w:rsidP="001B369C">
      <w:pPr>
        <w:pStyle w:val="NormaleWeb"/>
        <w:numPr>
          <w:ilvl w:val="0"/>
          <w:numId w:val="2"/>
        </w:numPr>
        <w:spacing w:before="0" w:after="0"/>
        <w:jc w:val="both"/>
        <w:rPr>
          <w:sz w:val="28"/>
        </w:rPr>
      </w:pPr>
      <w:r w:rsidRPr="001B369C">
        <w:rPr>
          <w:sz w:val="28"/>
        </w:rPr>
        <w:t>1 diplomatico ogni 2,51 unità di AAFF, se considerato in termini assoluti (era 3,93 nel 2009);</w:t>
      </w:r>
    </w:p>
    <w:p w:rsidR="007E7FC9" w:rsidRPr="001B369C" w:rsidRDefault="007E7FC9" w:rsidP="001B369C">
      <w:pPr>
        <w:pStyle w:val="NormaleWeb"/>
        <w:numPr>
          <w:ilvl w:val="0"/>
          <w:numId w:val="2"/>
        </w:numPr>
        <w:spacing w:before="0" w:after="0"/>
        <w:jc w:val="both"/>
        <w:rPr>
          <w:sz w:val="28"/>
        </w:rPr>
      </w:pPr>
      <w:r w:rsidRPr="001B369C">
        <w:rPr>
          <w:sz w:val="28"/>
        </w:rPr>
        <w:t xml:space="preserve">1 diplomatico ogni 2,25 unità di AAFF, all’estero (era 3,61 nel 2009); </w:t>
      </w:r>
    </w:p>
    <w:p w:rsidR="007E7FC9" w:rsidRDefault="007E7FC9" w:rsidP="001B369C">
      <w:pPr>
        <w:pStyle w:val="NormaleWeb"/>
        <w:numPr>
          <w:ilvl w:val="0"/>
          <w:numId w:val="2"/>
        </w:numPr>
        <w:spacing w:before="0" w:after="0"/>
        <w:jc w:val="both"/>
        <w:rPr>
          <w:sz w:val="28"/>
        </w:rPr>
      </w:pPr>
      <w:r w:rsidRPr="001B369C">
        <w:rPr>
          <w:sz w:val="28"/>
        </w:rPr>
        <w:t xml:space="preserve">1 diplomatico ogni 2,82 unità di AAFF, a Roma (era 4,37 nel 2009). </w:t>
      </w:r>
    </w:p>
    <w:p w:rsidR="00915E75" w:rsidRPr="001B369C" w:rsidRDefault="00915E75" w:rsidP="00915E75">
      <w:pPr>
        <w:pStyle w:val="NormaleWeb"/>
        <w:spacing w:before="0" w:after="0"/>
        <w:ind w:left="360"/>
        <w:jc w:val="both"/>
        <w:rPr>
          <w:sz w:val="28"/>
        </w:rPr>
      </w:pPr>
    </w:p>
    <w:p w:rsidR="0069744E" w:rsidRPr="00581F68" w:rsidRDefault="00B34533" w:rsidP="00E260DF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Anche per quanto riguarda gli </w:t>
      </w:r>
      <w:r w:rsidRPr="00B34533">
        <w:rPr>
          <w:b/>
          <w:sz w:val="28"/>
          <w:szCs w:val="28"/>
        </w:rPr>
        <w:t>Istituti di Cultura</w:t>
      </w:r>
      <w:r w:rsidRPr="00581F68">
        <w:rPr>
          <w:sz w:val="28"/>
          <w:szCs w:val="28"/>
        </w:rPr>
        <w:t xml:space="preserve"> su 84 sedi attualmente funzionanti 13 sedi risultano vacanti e altre 3 lo diventeranno nei prossimi mesi. Inoltre, a fronte di un carico di lavoro notevolmente aumentato,  il 90 % delle sedi coperte dispone di una sola unità di ruolo.</w:t>
      </w:r>
      <w:r>
        <w:rPr>
          <w:sz w:val="28"/>
          <w:szCs w:val="28"/>
        </w:rPr>
        <w:t xml:space="preserve"> </w:t>
      </w:r>
      <w:r w:rsidR="0069744E" w:rsidRPr="00581F68">
        <w:rPr>
          <w:color w:val="000000"/>
          <w:sz w:val="28"/>
          <w:szCs w:val="28"/>
        </w:rPr>
        <w:t xml:space="preserve">Le dotazioni finanziarie hanno subito numerosi tagli  e in molte sedi risultano totalmente inadeguate allo svolgimento dei compiti di un IIC. </w:t>
      </w:r>
    </w:p>
    <w:p w:rsidR="00E260DF" w:rsidRDefault="00E260DF" w:rsidP="008A1AE0">
      <w:pPr>
        <w:pStyle w:val="NormaleWeb"/>
        <w:spacing w:before="0" w:after="0"/>
        <w:jc w:val="both"/>
        <w:rPr>
          <w:sz w:val="28"/>
          <w:szCs w:val="28"/>
        </w:rPr>
      </w:pPr>
    </w:p>
    <w:p w:rsidR="008A1AE0" w:rsidRPr="00581F68" w:rsidRDefault="00F546CF" w:rsidP="00E260DF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Nessuna struttura organizzata, a mio parere, può funzionare con uno </w:t>
      </w:r>
      <w:r w:rsidR="004A41E1" w:rsidRPr="00581F68">
        <w:rPr>
          <w:sz w:val="28"/>
          <w:szCs w:val="28"/>
        </w:rPr>
        <w:t>sbilanciamento</w:t>
      </w:r>
      <w:r w:rsidRPr="00581F68">
        <w:rPr>
          <w:sz w:val="28"/>
          <w:szCs w:val="28"/>
        </w:rPr>
        <w:t xml:space="preserve"> funzionale così importante. </w:t>
      </w:r>
    </w:p>
    <w:p w:rsidR="00E260DF" w:rsidRDefault="00E260DF" w:rsidP="00E260DF">
      <w:pPr>
        <w:pStyle w:val="NormaleWeb"/>
        <w:spacing w:before="0" w:after="0"/>
        <w:jc w:val="both"/>
        <w:rPr>
          <w:sz w:val="28"/>
          <w:szCs w:val="28"/>
        </w:rPr>
      </w:pPr>
    </w:p>
    <w:p w:rsidR="008A1AE0" w:rsidRPr="00581F68" w:rsidRDefault="00150C5B" w:rsidP="00E260DF">
      <w:pPr>
        <w:pStyle w:val="NormaleWeb"/>
        <w:spacing w:before="0" w:after="0"/>
        <w:jc w:val="both"/>
        <w:rPr>
          <w:sz w:val="28"/>
          <w:szCs w:val="28"/>
        </w:rPr>
      </w:pPr>
      <w:r w:rsidRPr="00E260DF">
        <w:rPr>
          <w:b/>
          <w:sz w:val="28"/>
          <w:szCs w:val="28"/>
        </w:rPr>
        <w:t>Il Capo Missione, per raggiungere gli obiettivi assegnati</w:t>
      </w:r>
      <w:r w:rsidR="004B1DB4" w:rsidRPr="00E260DF">
        <w:rPr>
          <w:b/>
          <w:sz w:val="28"/>
          <w:szCs w:val="28"/>
        </w:rPr>
        <w:t>,</w:t>
      </w:r>
      <w:r w:rsidRPr="00E260DF">
        <w:rPr>
          <w:b/>
          <w:sz w:val="28"/>
          <w:szCs w:val="28"/>
        </w:rPr>
        <w:t xml:space="preserve"> </w:t>
      </w:r>
      <w:r w:rsidR="008A1AE0" w:rsidRPr="00E260DF">
        <w:rPr>
          <w:b/>
          <w:sz w:val="28"/>
          <w:szCs w:val="28"/>
        </w:rPr>
        <w:t>deve avvalersi delle</w:t>
      </w:r>
      <w:r w:rsidR="008A1AE0" w:rsidRPr="00581F68">
        <w:rPr>
          <w:sz w:val="28"/>
          <w:szCs w:val="28"/>
        </w:rPr>
        <w:t xml:space="preserve"> </w:t>
      </w:r>
      <w:r w:rsidR="008A1AE0" w:rsidRPr="00581F68">
        <w:rPr>
          <w:b/>
          <w:sz w:val="28"/>
          <w:szCs w:val="28"/>
        </w:rPr>
        <w:t>competenze</w:t>
      </w:r>
      <w:r w:rsidR="008A1AE0" w:rsidRPr="00581F68">
        <w:rPr>
          <w:sz w:val="28"/>
          <w:szCs w:val="28"/>
        </w:rPr>
        <w:t xml:space="preserve"> </w:t>
      </w:r>
      <w:r w:rsidR="004B1DB4" w:rsidRPr="00581F68">
        <w:rPr>
          <w:sz w:val="28"/>
          <w:szCs w:val="28"/>
        </w:rPr>
        <w:t xml:space="preserve">e </w:t>
      </w:r>
      <w:r w:rsidR="008A1AE0" w:rsidRPr="00581F68">
        <w:rPr>
          <w:sz w:val="28"/>
          <w:szCs w:val="28"/>
        </w:rPr>
        <w:t>del</w:t>
      </w:r>
      <w:r w:rsidR="004B1DB4" w:rsidRPr="00581F68">
        <w:rPr>
          <w:sz w:val="28"/>
          <w:szCs w:val="28"/>
        </w:rPr>
        <w:t xml:space="preserve">la </w:t>
      </w:r>
      <w:r w:rsidR="004B1DB4" w:rsidRPr="00581F68">
        <w:rPr>
          <w:b/>
          <w:sz w:val="28"/>
          <w:szCs w:val="28"/>
        </w:rPr>
        <w:t>professionalità</w:t>
      </w:r>
      <w:r w:rsidR="004B1DB4" w:rsidRPr="00581F68">
        <w:rPr>
          <w:sz w:val="28"/>
          <w:szCs w:val="28"/>
        </w:rPr>
        <w:t xml:space="preserve"> del </w:t>
      </w:r>
      <w:r w:rsidR="008A1AE0" w:rsidRPr="00581F68">
        <w:rPr>
          <w:sz w:val="28"/>
          <w:szCs w:val="28"/>
        </w:rPr>
        <w:t xml:space="preserve">personale </w:t>
      </w:r>
      <w:r w:rsidR="004B1DB4" w:rsidRPr="00581F68">
        <w:rPr>
          <w:sz w:val="28"/>
          <w:szCs w:val="28"/>
        </w:rPr>
        <w:t xml:space="preserve">di ruolo </w:t>
      </w:r>
      <w:r w:rsidR="008A1AE0" w:rsidRPr="00581F68">
        <w:rPr>
          <w:sz w:val="28"/>
          <w:szCs w:val="28"/>
        </w:rPr>
        <w:t>e del personale a contratto: il primo</w:t>
      </w:r>
      <w:r w:rsidR="004B1DB4" w:rsidRPr="00581F68">
        <w:rPr>
          <w:sz w:val="28"/>
          <w:szCs w:val="28"/>
        </w:rPr>
        <w:t>,</w:t>
      </w:r>
      <w:r w:rsidR="008A1AE0" w:rsidRPr="00581F68">
        <w:rPr>
          <w:sz w:val="28"/>
          <w:szCs w:val="28"/>
        </w:rPr>
        <w:t xml:space="preserve"> assunto con procedure concorsuali</w:t>
      </w:r>
      <w:r w:rsidR="004B1DB4" w:rsidRPr="00581F68">
        <w:rPr>
          <w:sz w:val="28"/>
          <w:szCs w:val="28"/>
        </w:rPr>
        <w:t xml:space="preserve"> nazionali</w:t>
      </w:r>
      <w:r w:rsidR="008A1AE0" w:rsidRPr="00581F68">
        <w:rPr>
          <w:sz w:val="28"/>
          <w:szCs w:val="28"/>
        </w:rPr>
        <w:t xml:space="preserve">, </w:t>
      </w:r>
      <w:r w:rsidR="004B1DB4" w:rsidRPr="00581F68">
        <w:rPr>
          <w:sz w:val="28"/>
          <w:szCs w:val="28"/>
        </w:rPr>
        <w:t>in quanto dipendente dello Stato è indispensabile per svolgere incarichi</w:t>
      </w:r>
      <w:r w:rsidR="0064257B">
        <w:rPr>
          <w:sz w:val="28"/>
          <w:szCs w:val="28"/>
        </w:rPr>
        <w:t xml:space="preserve"> che spesso comportano assunzione di responsabilità civili e penali</w:t>
      </w:r>
      <w:r w:rsidR="004B1DB4" w:rsidRPr="00581F68">
        <w:rPr>
          <w:sz w:val="28"/>
          <w:szCs w:val="28"/>
        </w:rPr>
        <w:t xml:space="preserve"> che, sia per loro natura sia perché previsto dalla </w:t>
      </w:r>
      <w:r w:rsidR="004B1DB4" w:rsidRPr="00581F68">
        <w:rPr>
          <w:sz w:val="28"/>
          <w:szCs w:val="28"/>
        </w:rPr>
        <w:lastRenderedPageBreak/>
        <w:t>normativa italiana ed europea,</w:t>
      </w:r>
      <w:r w:rsidR="006C5DCD">
        <w:rPr>
          <w:sz w:val="28"/>
          <w:szCs w:val="28"/>
        </w:rPr>
        <w:t xml:space="preserve"> devono essergli necessariamente affidati</w:t>
      </w:r>
      <w:r w:rsidR="008A1AE0" w:rsidRPr="00581F68">
        <w:rPr>
          <w:sz w:val="28"/>
          <w:szCs w:val="28"/>
        </w:rPr>
        <w:t xml:space="preserve">; il secondo invece, </w:t>
      </w:r>
      <w:r w:rsidR="004B1DB4" w:rsidRPr="00581F68">
        <w:rPr>
          <w:sz w:val="28"/>
          <w:szCs w:val="28"/>
        </w:rPr>
        <w:t>assunto con concorsi locali gestiti dal</w:t>
      </w:r>
      <w:r w:rsidR="00952744" w:rsidRPr="00581F68">
        <w:rPr>
          <w:sz w:val="28"/>
          <w:szCs w:val="28"/>
        </w:rPr>
        <w:t>la</w:t>
      </w:r>
      <w:r w:rsidR="004B1DB4" w:rsidRPr="00581F68">
        <w:rPr>
          <w:sz w:val="28"/>
          <w:szCs w:val="28"/>
        </w:rPr>
        <w:t xml:space="preserve"> stess</w:t>
      </w:r>
      <w:r w:rsidR="00952744" w:rsidRPr="00581F68">
        <w:rPr>
          <w:sz w:val="28"/>
          <w:szCs w:val="28"/>
        </w:rPr>
        <w:t xml:space="preserve">a </w:t>
      </w:r>
      <w:r w:rsidR="004B1DB4" w:rsidRPr="00581F68">
        <w:rPr>
          <w:sz w:val="28"/>
          <w:szCs w:val="28"/>
        </w:rPr>
        <w:t>sede</w:t>
      </w:r>
      <w:r w:rsidR="001B369C">
        <w:rPr>
          <w:sz w:val="28"/>
          <w:szCs w:val="28"/>
        </w:rPr>
        <w:t>,</w:t>
      </w:r>
      <w:r w:rsidR="00952744" w:rsidRPr="00581F68">
        <w:rPr>
          <w:sz w:val="28"/>
          <w:szCs w:val="28"/>
        </w:rPr>
        <w:t xml:space="preserve"> è indispensabile per la conoscenza </w:t>
      </w:r>
      <w:r w:rsidR="008A1AE0" w:rsidRPr="00581F68">
        <w:rPr>
          <w:sz w:val="28"/>
          <w:szCs w:val="28"/>
        </w:rPr>
        <w:t>della normativa</w:t>
      </w:r>
      <w:r w:rsidR="00952744" w:rsidRPr="00581F68">
        <w:rPr>
          <w:sz w:val="28"/>
          <w:szCs w:val="28"/>
        </w:rPr>
        <w:t xml:space="preserve"> e della </w:t>
      </w:r>
      <w:r w:rsidR="008A1AE0" w:rsidRPr="00581F68">
        <w:rPr>
          <w:sz w:val="28"/>
          <w:szCs w:val="28"/>
        </w:rPr>
        <w:t>lingua</w:t>
      </w:r>
      <w:r w:rsidR="00952744" w:rsidRPr="00581F68">
        <w:rPr>
          <w:sz w:val="28"/>
          <w:szCs w:val="28"/>
        </w:rPr>
        <w:t xml:space="preserve"> locale. A questo proposito posso sottolineare che sempre più spesso questo personale non possiede la cittadinanza italiana e nemmeno la conoscenza della lingua italiana. Questo comporta, soprattutto per coloro che sono assunti fuori dall’Europa, il rischio di una mancata conoscenza della realtà economica, sociale e culturale italiana</w:t>
      </w:r>
      <w:r w:rsidR="002B0042" w:rsidRPr="00581F68">
        <w:rPr>
          <w:sz w:val="28"/>
          <w:szCs w:val="28"/>
        </w:rPr>
        <w:t>.</w:t>
      </w:r>
    </w:p>
    <w:p w:rsidR="00822672" w:rsidRPr="00581F68" w:rsidRDefault="00822672" w:rsidP="00822672">
      <w:pPr>
        <w:pStyle w:val="NormaleWeb"/>
        <w:spacing w:before="0" w:after="0"/>
        <w:jc w:val="both"/>
        <w:rPr>
          <w:sz w:val="28"/>
          <w:szCs w:val="28"/>
        </w:rPr>
      </w:pPr>
    </w:p>
    <w:p w:rsidR="008A1AE0" w:rsidRPr="00581F68" w:rsidRDefault="004B0325" w:rsidP="00822672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Q</w:t>
      </w:r>
      <w:r w:rsidR="008A1AE0" w:rsidRPr="00581F68">
        <w:rPr>
          <w:sz w:val="28"/>
          <w:szCs w:val="28"/>
        </w:rPr>
        <w:t xml:space="preserve">uella delle </w:t>
      </w:r>
      <w:r w:rsidR="008A1AE0" w:rsidRPr="00581F68">
        <w:rPr>
          <w:b/>
          <w:sz w:val="28"/>
          <w:szCs w:val="28"/>
        </w:rPr>
        <w:t>risorse umane</w:t>
      </w:r>
      <w:r w:rsidR="008A1AE0" w:rsidRPr="00581F68">
        <w:rPr>
          <w:sz w:val="28"/>
          <w:szCs w:val="28"/>
        </w:rPr>
        <w:t xml:space="preserve"> è una questione comunque molto complessa, che potrà essere affrontata solo con una pluralità di strumenti, quali la </w:t>
      </w:r>
      <w:r w:rsidR="008A1AE0" w:rsidRPr="001B369C">
        <w:rPr>
          <w:b/>
          <w:i/>
          <w:sz w:val="28"/>
          <w:szCs w:val="28"/>
        </w:rPr>
        <w:t>valorizzazione delle professionalità</w:t>
      </w:r>
      <w:r w:rsidR="00A55D74" w:rsidRPr="00581F68">
        <w:rPr>
          <w:sz w:val="28"/>
          <w:szCs w:val="28"/>
        </w:rPr>
        <w:t>,</w:t>
      </w:r>
      <w:r w:rsidR="008A1AE0" w:rsidRPr="00581F68">
        <w:rPr>
          <w:sz w:val="28"/>
          <w:szCs w:val="28"/>
        </w:rPr>
        <w:t xml:space="preserve"> la </w:t>
      </w:r>
      <w:r w:rsidR="008A1AE0" w:rsidRPr="001B369C">
        <w:rPr>
          <w:b/>
          <w:i/>
          <w:sz w:val="28"/>
          <w:szCs w:val="28"/>
        </w:rPr>
        <w:t>riorganizzazione dei profili e della struttura</w:t>
      </w:r>
      <w:r w:rsidR="0064257B">
        <w:rPr>
          <w:sz w:val="28"/>
          <w:szCs w:val="28"/>
        </w:rPr>
        <w:t xml:space="preserve">, una </w:t>
      </w:r>
      <w:r w:rsidR="0064257B" w:rsidRPr="001B369C">
        <w:rPr>
          <w:b/>
          <w:i/>
          <w:sz w:val="28"/>
          <w:szCs w:val="28"/>
        </w:rPr>
        <w:t>formazione continua</w:t>
      </w:r>
      <w:r w:rsidR="0064257B">
        <w:rPr>
          <w:sz w:val="28"/>
          <w:szCs w:val="28"/>
        </w:rPr>
        <w:t xml:space="preserve"> svolta in maniera sistematica</w:t>
      </w:r>
      <w:r w:rsidR="0003415C">
        <w:rPr>
          <w:sz w:val="28"/>
          <w:szCs w:val="28"/>
        </w:rPr>
        <w:t xml:space="preserve"> </w:t>
      </w:r>
      <w:r w:rsidR="0064257B">
        <w:rPr>
          <w:sz w:val="28"/>
          <w:szCs w:val="28"/>
        </w:rPr>
        <w:t xml:space="preserve">che segua l’evoluzione delle normative </w:t>
      </w:r>
      <w:r w:rsidR="0064257B" w:rsidRPr="0003415C">
        <w:rPr>
          <w:sz w:val="28"/>
          <w:szCs w:val="28"/>
        </w:rPr>
        <w:t>e degli applicativi in uso</w:t>
      </w:r>
      <w:r w:rsidR="0003415C" w:rsidRPr="0003415C">
        <w:rPr>
          <w:sz w:val="28"/>
          <w:szCs w:val="28"/>
        </w:rPr>
        <w:t>,</w:t>
      </w:r>
      <w:r w:rsidR="0064257B" w:rsidRPr="0003415C">
        <w:rPr>
          <w:sz w:val="28"/>
          <w:szCs w:val="28"/>
        </w:rPr>
        <w:t xml:space="preserve"> </w:t>
      </w:r>
      <w:r w:rsidR="008A1AE0" w:rsidRPr="00581F68">
        <w:rPr>
          <w:sz w:val="28"/>
          <w:szCs w:val="28"/>
        </w:rPr>
        <w:t xml:space="preserve">nonché la possibilità di </w:t>
      </w:r>
      <w:r w:rsidR="00A55D74" w:rsidRPr="001B369C">
        <w:rPr>
          <w:b/>
          <w:i/>
          <w:sz w:val="28"/>
          <w:szCs w:val="28"/>
        </w:rPr>
        <w:t>ulteriori</w:t>
      </w:r>
      <w:r w:rsidR="008A1AE0" w:rsidRPr="001B369C">
        <w:rPr>
          <w:b/>
          <w:i/>
          <w:sz w:val="28"/>
          <w:szCs w:val="28"/>
        </w:rPr>
        <w:t xml:space="preserve"> assunzioni</w:t>
      </w:r>
      <w:r w:rsidR="008A1AE0" w:rsidRPr="00581F68">
        <w:rPr>
          <w:sz w:val="28"/>
          <w:szCs w:val="28"/>
        </w:rPr>
        <w:t xml:space="preserve"> di personale delle A</w:t>
      </w:r>
      <w:r w:rsidR="00017B6B" w:rsidRPr="00581F68">
        <w:rPr>
          <w:sz w:val="28"/>
          <w:szCs w:val="28"/>
        </w:rPr>
        <w:t>A.FF. c</w:t>
      </w:r>
      <w:r w:rsidR="008A1AE0" w:rsidRPr="00581F68">
        <w:rPr>
          <w:sz w:val="28"/>
          <w:szCs w:val="28"/>
        </w:rPr>
        <w:t xml:space="preserve">he assicuri il </w:t>
      </w:r>
      <w:r w:rsidRPr="00581F68">
        <w:rPr>
          <w:sz w:val="28"/>
          <w:szCs w:val="28"/>
        </w:rPr>
        <w:t>potenziamento dei ruoli</w:t>
      </w:r>
      <w:r w:rsidR="0064257B" w:rsidRPr="008B3213">
        <w:rPr>
          <w:sz w:val="28"/>
          <w:szCs w:val="28"/>
        </w:rPr>
        <w:t>, un carico di lavoro dimensionato con le responsabilità che vengono assunte</w:t>
      </w:r>
      <w:r w:rsidRPr="008B3213">
        <w:rPr>
          <w:sz w:val="28"/>
          <w:szCs w:val="28"/>
        </w:rPr>
        <w:t xml:space="preserve"> ed il</w:t>
      </w:r>
      <w:r w:rsidR="002B0042" w:rsidRPr="008B3213">
        <w:rPr>
          <w:sz w:val="28"/>
          <w:szCs w:val="28"/>
        </w:rPr>
        <w:t xml:space="preserve"> </w:t>
      </w:r>
      <w:r w:rsidR="008A1AE0" w:rsidRPr="008B3213">
        <w:rPr>
          <w:sz w:val="28"/>
          <w:szCs w:val="28"/>
        </w:rPr>
        <w:t>nec</w:t>
      </w:r>
      <w:r w:rsidR="008A1AE0" w:rsidRPr="00581F68">
        <w:rPr>
          <w:sz w:val="28"/>
          <w:szCs w:val="28"/>
        </w:rPr>
        <w:t>essario rinnovamento generazionale.</w:t>
      </w:r>
    </w:p>
    <w:p w:rsidR="00822672" w:rsidRPr="00581F68" w:rsidRDefault="00822672" w:rsidP="00822672">
      <w:pPr>
        <w:pStyle w:val="NormaleWeb"/>
        <w:spacing w:before="0" w:after="0"/>
        <w:jc w:val="both"/>
        <w:rPr>
          <w:sz w:val="28"/>
          <w:szCs w:val="28"/>
        </w:rPr>
      </w:pPr>
    </w:p>
    <w:p w:rsidR="00641A68" w:rsidRPr="00581F68" w:rsidRDefault="00B947FC" w:rsidP="00DF4F10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>L</w:t>
      </w:r>
      <w:r w:rsidR="002B0042" w:rsidRPr="00581F68">
        <w:rPr>
          <w:sz w:val="28"/>
          <w:szCs w:val="28"/>
        </w:rPr>
        <w:t xml:space="preserve">e </w:t>
      </w:r>
      <w:r w:rsidR="002B0042" w:rsidRPr="00581F68">
        <w:rPr>
          <w:b/>
          <w:sz w:val="28"/>
          <w:szCs w:val="28"/>
        </w:rPr>
        <w:t>assunzioni</w:t>
      </w:r>
      <w:r w:rsidR="002B0042" w:rsidRPr="00581F68">
        <w:rPr>
          <w:sz w:val="28"/>
          <w:szCs w:val="28"/>
        </w:rPr>
        <w:t xml:space="preserve"> di AA.FF già autorizzate</w:t>
      </w:r>
      <w:r w:rsidR="00641A68" w:rsidRPr="00581F68">
        <w:rPr>
          <w:sz w:val="28"/>
          <w:szCs w:val="28"/>
        </w:rPr>
        <w:t xml:space="preserve">, pur rappresentando un importante avvio di risoluzione di un problema che si trascina da troppo tempo, </w:t>
      </w:r>
      <w:r w:rsidR="002B0042" w:rsidRPr="00581F68">
        <w:rPr>
          <w:sz w:val="28"/>
          <w:szCs w:val="28"/>
        </w:rPr>
        <w:t>non s</w:t>
      </w:r>
      <w:r w:rsidR="00641A68" w:rsidRPr="00581F68">
        <w:rPr>
          <w:sz w:val="28"/>
          <w:szCs w:val="28"/>
        </w:rPr>
        <w:t>aran</w:t>
      </w:r>
      <w:r w:rsidR="002B0042" w:rsidRPr="00581F68">
        <w:rPr>
          <w:sz w:val="28"/>
          <w:szCs w:val="28"/>
        </w:rPr>
        <w:t>no sufficienti a coprire neanche i pensionamenti d</w:t>
      </w:r>
      <w:r w:rsidR="00641A68" w:rsidRPr="00581F68">
        <w:rPr>
          <w:sz w:val="28"/>
          <w:szCs w:val="28"/>
        </w:rPr>
        <w:t>e</w:t>
      </w:r>
      <w:r w:rsidR="002B0042" w:rsidRPr="00581F68">
        <w:rPr>
          <w:sz w:val="28"/>
          <w:szCs w:val="28"/>
        </w:rPr>
        <w:t>i</w:t>
      </w:r>
      <w:r w:rsidR="00641A68" w:rsidRPr="00581F68">
        <w:rPr>
          <w:sz w:val="28"/>
          <w:szCs w:val="28"/>
        </w:rPr>
        <w:t xml:space="preserve"> prossimi anni.</w:t>
      </w:r>
    </w:p>
    <w:p w:rsidR="002B0042" w:rsidRPr="00581F68" w:rsidRDefault="002B0042" w:rsidP="00DF4F10">
      <w:pPr>
        <w:pStyle w:val="NormaleWeb"/>
        <w:spacing w:before="0" w:after="0"/>
        <w:jc w:val="both"/>
        <w:rPr>
          <w:sz w:val="28"/>
          <w:szCs w:val="28"/>
        </w:rPr>
      </w:pPr>
      <w:r w:rsidRPr="00581F68">
        <w:rPr>
          <w:sz w:val="28"/>
          <w:szCs w:val="28"/>
        </w:rPr>
        <w:t xml:space="preserve"> </w:t>
      </w:r>
    </w:p>
    <w:p w:rsidR="00641A68" w:rsidRPr="00581F68" w:rsidRDefault="00641A68" w:rsidP="00DF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>I problemi che riguardano il personale, nonché il funzionamento delle Sedi, non si limitano al solo fattore numerico, ma si estendono all’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aumento delle responsabilità e dei carichi di lavoro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15C">
        <w:rPr>
          <w:rFonts w:ascii="Times New Roman" w:eastAsia="Times New Roman" w:hAnsi="Times New Roman" w:cs="Times New Roman"/>
          <w:sz w:val="28"/>
          <w:szCs w:val="28"/>
        </w:rPr>
        <w:t xml:space="preserve"> in capo al singolo lavoratore,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che sono derivati dall</w:t>
      </w:r>
      <w:r w:rsidR="00341376" w:rsidRPr="00581F68">
        <w:rPr>
          <w:rFonts w:ascii="Times New Roman" w:eastAsia="Times New Roman" w:hAnsi="Times New Roman" w:cs="Times New Roman"/>
          <w:sz w:val="28"/>
          <w:szCs w:val="28"/>
        </w:rPr>
        <w:t xml:space="preserve">’istituzione del </w:t>
      </w:r>
      <w:r w:rsidR="00341376" w:rsidRPr="00581F68">
        <w:rPr>
          <w:rFonts w:ascii="Times New Roman" w:eastAsia="Times New Roman" w:hAnsi="Times New Roman" w:cs="Times New Roman"/>
          <w:b/>
          <w:sz w:val="28"/>
          <w:szCs w:val="28"/>
        </w:rPr>
        <w:t>Profilo Unico</w:t>
      </w:r>
      <w:r w:rsidR="00341376" w:rsidRPr="00581F68">
        <w:rPr>
          <w:rFonts w:ascii="Times New Roman" w:eastAsia="Times New Roman" w:hAnsi="Times New Roman" w:cs="Times New Roman"/>
          <w:sz w:val="28"/>
          <w:szCs w:val="28"/>
        </w:rPr>
        <w:t xml:space="preserve">, che ha accorpato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le mansioni a</w:t>
      </w:r>
      <w:r w:rsidR="00341376" w:rsidRPr="00581F68">
        <w:rPr>
          <w:rFonts w:ascii="Times New Roman" w:eastAsia="Times New Roman" w:hAnsi="Times New Roman" w:cs="Times New Roman"/>
          <w:sz w:val="28"/>
          <w:szCs w:val="28"/>
        </w:rPr>
        <w:t>mministrativ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e c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ontabili e 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consolari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672" w:rsidRPr="00581F68" w:rsidRDefault="0082267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17" w:rsidRPr="00581F68" w:rsidRDefault="00641A68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>Questo</w:t>
      </w:r>
      <w:r w:rsidR="00341376" w:rsidRPr="00581F68">
        <w:rPr>
          <w:rFonts w:ascii="Times New Roman" w:eastAsia="Times New Roman" w:hAnsi="Times New Roman" w:cs="Times New Roman"/>
          <w:sz w:val="28"/>
          <w:szCs w:val="28"/>
        </w:rPr>
        <w:t xml:space="preserve"> è stato recepito nel CCI sottoscritto nel dicembre 2016 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>da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lla maggioranza dei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 sindaca</w:t>
      </w:r>
      <w:r w:rsidR="00065175" w:rsidRPr="00581F68">
        <w:rPr>
          <w:rFonts w:ascii="Times New Roman" w:eastAsia="Times New Roman" w:hAnsi="Times New Roman" w:cs="Times New Roman"/>
          <w:sz w:val="28"/>
          <w:szCs w:val="28"/>
        </w:rPr>
        <w:t>t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>i</w:t>
      </w:r>
      <w:r w:rsidR="00065175" w:rsidRPr="00581F68">
        <w:rPr>
          <w:rFonts w:ascii="Times New Roman" w:eastAsia="Times New Roman" w:hAnsi="Times New Roman" w:cs="Times New Roman"/>
          <w:sz w:val="28"/>
          <w:szCs w:val="28"/>
        </w:rPr>
        <w:t xml:space="preserve"> del Ministero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, ma </w:t>
      </w:r>
      <w:r w:rsidR="00077117" w:rsidRPr="00DF4F10">
        <w:rPr>
          <w:rFonts w:ascii="Times New Roman" w:eastAsia="Times New Roman" w:hAnsi="Times New Roman" w:cs="Times New Roman"/>
          <w:b/>
          <w:sz w:val="28"/>
          <w:szCs w:val="28"/>
        </w:rPr>
        <w:t>non da</w:t>
      </w:r>
      <w:r w:rsidRPr="00DF4F10">
        <w:rPr>
          <w:rFonts w:ascii="Times New Roman" w:eastAsia="Times New Roman" w:hAnsi="Times New Roman" w:cs="Times New Roman"/>
          <w:b/>
          <w:sz w:val="28"/>
          <w:szCs w:val="28"/>
        </w:rPr>
        <w:t>lla CGIL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, in quanto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l’Amministrazione 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non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ha 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>dat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o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 xml:space="preserve"> sufficienti garanzie a tutela dei lavoratori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 xml:space="preserve"> e dei servizi</w:t>
      </w:r>
      <w:r w:rsidR="00077117"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672" w:rsidRPr="00581F68" w:rsidRDefault="0082267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17" w:rsidRPr="00581F68" w:rsidRDefault="00077117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>I fatti hanno dato ragione</w:t>
      </w:r>
      <w:r w:rsidR="00B37B0F" w:rsidRPr="00581F68">
        <w:rPr>
          <w:rFonts w:ascii="Times New Roman" w:eastAsia="Times New Roman" w:hAnsi="Times New Roman" w:cs="Times New Roman"/>
          <w:sz w:val="28"/>
          <w:szCs w:val="28"/>
        </w:rPr>
        <w:t xml:space="preserve"> a questa scelta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, poiché la carenza degli organ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ici delle 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ree 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unzionali, soprattutto all’estero, ha determinato un sovraccarico insostenibile di responsabilità in capo ai </w:t>
      </w:r>
      <w:r w:rsidR="00B37B0F" w:rsidRPr="00581F68">
        <w:rPr>
          <w:rFonts w:ascii="Times New Roman" w:eastAsia="Times New Roman" w:hAnsi="Times New Roman" w:cs="Times New Roman"/>
          <w:sz w:val="28"/>
          <w:szCs w:val="28"/>
        </w:rPr>
        <w:t xml:space="preserve">lavoratori, soprattutto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perché l’Amministrazione sta interpretando in modo </w:t>
      </w:r>
      <w:r w:rsidR="00B37B0F" w:rsidRPr="00DF4F10">
        <w:rPr>
          <w:rFonts w:ascii="Times New Roman" w:eastAsia="Times New Roman" w:hAnsi="Times New Roman" w:cs="Times New Roman"/>
          <w:b/>
          <w:sz w:val="28"/>
          <w:szCs w:val="28"/>
        </w:rPr>
        <w:t>errato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l’intento dell’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ccordo che</w:t>
      </w:r>
      <w:r w:rsidR="00B947FC" w:rsidRPr="00581F68">
        <w:rPr>
          <w:rFonts w:ascii="Times New Roman" w:eastAsia="Times New Roman" w:hAnsi="Times New Roman" w:cs="Times New Roman"/>
          <w:sz w:val="28"/>
          <w:szCs w:val="28"/>
        </w:rPr>
        <w:t xml:space="preserve"> avrebbe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dov</w:t>
      </w:r>
      <w:r w:rsidR="00B947FC" w:rsidRPr="00581F68">
        <w:rPr>
          <w:rFonts w:ascii="Times New Roman" w:eastAsia="Times New Roman" w:hAnsi="Times New Roman" w:cs="Times New Roman"/>
          <w:sz w:val="28"/>
          <w:szCs w:val="28"/>
        </w:rPr>
        <w:t>uto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sostenere la possibilità di assumere funzioni diverse ma in 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alternativa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non già in sommatoria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672" w:rsidRPr="00581F68" w:rsidRDefault="0082267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4BA" w:rsidRPr="00581F68" w:rsidRDefault="00E804BA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Il corso di formazione, che l’Amministrazione ha organizzato per </w:t>
      </w:r>
      <w:r w:rsidR="00B947FC" w:rsidRPr="00581F68">
        <w:rPr>
          <w:rFonts w:ascii="Times New Roman" w:eastAsia="Times New Roman" w:hAnsi="Times New Roman" w:cs="Times New Roman"/>
          <w:sz w:val="28"/>
          <w:szCs w:val="28"/>
        </w:rPr>
        <w:t>il Profilo Unico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, non prepara sufficientemente i lavorator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ad assumersi le responsabilità che vengono 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 xml:space="preserve">loro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affidate, con ovvie ricadute negative sia sul personale stesso (procedimenti disciplinari</w:t>
      </w:r>
      <w:r w:rsidR="00B37B0F" w:rsidRPr="00581F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decadenza dal posto</w:t>
      </w:r>
      <w:r w:rsidR="00B37B0F" w:rsidRPr="00581F68">
        <w:rPr>
          <w:rFonts w:ascii="Times New Roman" w:eastAsia="Times New Roman" w:hAnsi="Times New Roman" w:cs="Times New Roman"/>
          <w:sz w:val="28"/>
          <w:szCs w:val="28"/>
        </w:rPr>
        <w:t xml:space="preserve"> all’estero, licenziamenti</w:t>
      </w:r>
      <w:r w:rsidR="00822672" w:rsidRPr="00581F68">
        <w:rPr>
          <w:rFonts w:ascii="Times New Roman" w:eastAsia="Times New Roman" w:hAnsi="Times New Roman" w:cs="Times New Roman"/>
          <w:sz w:val="28"/>
          <w:szCs w:val="28"/>
        </w:rPr>
        <w:t>) che sulla funzionalità delle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AAC" w:rsidRPr="00581F68">
        <w:rPr>
          <w:rFonts w:ascii="Times New Roman" w:eastAsia="Times New Roman" w:hAnsi="Times New Roman" w:cs="Times New Roman"/>
          <w:sz w:val="28"/>
          <w:szCs w:val="28"/>
        </w:rPr>
        <w:t>Sedi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B16"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0E8" w:rsidRPr="00581F68" w:rsidRDefault="00BF60E8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AC" w:rsidRPr="00581F68" w:rsidRDefault="00AC7AAC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lastRenderedPageBreak/>
        <w:t>La conseguenza è che in occasione delle liste di trasferimento, le domande e le relative assegnazioni sono notevolmente diminuite, riuscendo a coprire nel migliore dei casi poco più di un terzo dei posti pubblicizzati.</w:t>
      </w:r>
    </w:p>
    <w:p w:rsidR="00822672" w:rsidRPr="00581F68" w:rsidRDefault="0082267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AC" w:rsidRPr="00581F68" w:rsidRDefault="00AC7AAC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Pr="00DF4F10">
        <w:rPr>
          <w:rFonts w:ascii="Times New Roman" w:eastAsia="Times New Roman" w:hAnsi="Times New Roman" w:cs="Times New Roman"/>
          <w:b/>
          <w:sz w:val="28"/>
          <w:szCs w:val="28"/>
        </w:rPr>
        <w:t>CGIL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ritiene</w:t>
      </w:r>
      <w:r w:rsidR="004B5EBF" w:rsidRPr="00581F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EBF" w:rsidRPr="00581F68">
        <w:rPr>
          <w:rFonts w:ascii="Times New Roman" w:eastAsia="Times New Roman" w:hAnsi="Times New Roman" w:cs="Times New Roman"/>
          <w:sz w:val="28"/>
          <w:szCs w:val="28"/>
        </w:rPr>
        <w:t xml:space="preserve">quindi, 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che sul Profilo Unico sia necessaria un 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seri</w:t>
      </w:r>
      <w:r w:rsidR="00D04EC2" w:rsidRPr="00581F68">
        <w:rPr>
          <w:rFonts w:ascii="Times New Roman" w:eastAsia="Times New Roman" w:hAnsi="Times New Roman" w:cs="Times New Roman"/>
          <w:b/>
          <w:sz w:val="28"/>
          <w:szCs w:val="28"/>
        </w:rPr>
        <w:t>o ripensamento</w:t>
      </w:r>
      <w:r w:rsidR="00D04EC2"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EBF" w:rsidRPr="00581F68" w:rsidRDefault="004B5EBF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AAC" w:rsidRPr="00581F68" w:rsidRDefault="004B5EBF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A questi due gravi problemi, carenza di personale e Profilo Unico, si aggiungono </w:t>
      </w:r>
      <w:r w:rsidR="00D04EC2" w:rsidRPr="00581F68">
        <w:rPr>
          <w:rFonts w:ascii="Times New Roman" w:eastAsia="Times New Roman" w:hAnsi="Times New Roman" w:cs="Times New Roman"/>
          <w:sz w:val="28"/>
          <w:szCs w:val="28"/>
        </w:rPr>
        <w:t>infine quell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i derivanti dalla 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riforma dell’ISE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, evidenziati già dai colleghi degli altri sindacati  che mi hanno preceduto.</w:t>
      </w:r>
    </w:p>
    <w:p w:rsidR="00B37B0F" w:rsidRPr="00581F68" w:rsidRDefault="00B37B0F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117" w:rsidRPr="00581F68" w:rsidRDefault="004B5EBF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D04EC2" w:rsidRPr="00581F68">
        <w:rPr>
          <w:rFonts w:ascii="Times New Roman" w:eastAsia="Times New Roman" w:hAnsi="Times New Roman" w:cs="Times New Roman"/>
          <w:sz w:val="28"/>
          <w:szCs w:val="28"/>
        </w:rPr>
        <w:t>tale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difficile quadro</w:t>
      </w:r>
      <w:r w:rsidR="00042243" w:rsidRPr="00581F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l’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 xml:space="preserve">incapacità della </w:t>
      </w:r>
      <w:r w:rsidR="00042243" w:rsidRPr="00581F68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581F68">
        <w:rPr>
          <w:rFonts w:ascii="Times New Roman" w:eastAsia="Times New Roman" w:hAnsi="Times New Roman" w:cs="Times New Roman"/>
          <w:b/>
          <w:sz w:val="28"/>
          <w:szCs w:val="28"/>
        </w:rPr>
        <w:t>irigenza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243">
        <w:rPr>
          <w:rFonts w:ascii="Times New Roman" w:eastAsia="Times New Roman" w:hAnsi="Times New Roman" w:cs="Times New Roman"/>
          <w:sz w:val="28"/>
          <w:szCs w:val="28"/>
        </w:rPr>
        <w:t>nel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gestire</w:t>
      </w:r>
      <w:r w:rsidR="003E7144">
        <w:rPr>
          <w:rFonts w:ascii="Times New Roman" w:eastAsia="Times New Roman" w:hAnsi="Times New Roman" w:cs="Times New Roman"/>
          <w:sz w:val="28"/>
          <w:szCs w:val="28"/>
        </w:rPr>
        <w:t xml:space="preserve"> efficientemente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 le scarse risorse umane e finanziarie è un ulteriore elemento che genera disfunzioni e malcontento tra </w:t>
      </w:r>
      <w:r w:rsidR="007D722B">
        <w:rPr>
          <w:rFonts w:ascii="Times New Roman" w:eastAsia="Times New Roman" w:hAnsi="Times New Roman" w:cs="Times New Roman"/>
          <w:sz w:val="28"/>
          <w:szCs w:val="28"/>
        </w:rPr>
        <w:t>i lavoratori</w:t>
      </w:r>
      <w:r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F10" w:rsidRDefault="00DF4F10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EBF" w:rsidRPr="00581F68" w:rsidRDefault="004B5EBF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>Troppo poco viene fatto nella formazione della dirigenza che spesso si trov</w:t>
      </w:r>
      <w:r w:rsidR="00042243" w:rsidRPr="00581F68">
        <w:rPr>
          <w:rFonts w:ascii="Times New Roman" w:eastAsia="Times New Roman" w:hAnsi="Times New Roman" w:cs="Times New Roman"/>
          <w:sz w:val="28"/>
          <w:szCs w:val="28"/>
        </w:rPr>
        <w:t xml:space="preserve">a a gestire il personale e i compiti </w:t>
      </w:r>
      <w:r w:rsidR="00D04EC2" w:rsidRPr="00581F68">
        <w:rPr>
          <w:rFonts w:ascii="Times New Roman" w:eastAsia="Times New Roman" w:hAnsi="Times New Roman" w:cs="Times New Roman"/>
          <w:sz w:val="28"/>
          <w:szCs w:val="28"/>
        </w:rPr>
        <w:t>assegnati</w:t>
      </w:r>
      <w:r w:rsidR="00822672" w:rsidRPr="00581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243" w:rsidRPr="00581F68">
        <w:rPr>
          <w:rFonts w:ascii="Times New Roman" w:eastAsia="Times New Roman" w:hAnsi="Times New Roman" w:cs="Times New Roman"/>
          <w:sz w:val="28"/>
          <w:szCs w:val="28"/>
        </w:rPr>
        <w:t>senza esserne in grado e senza assumersi le responsabilità del proprio ruolo.</w:t>
      </w:r>
    </w:p>
    <w:p w:rsidR="00822672" w:rsidRPr="00581F68" w:rsidRDefault="0082267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43" w:rsidRPr="00581F68" w:rsidRDefault="00042243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>Riteniamo che sia necessario un maggior impegno da parte dell’Amministrazione oltre che nella formazione anche nel controllo dell’operato dei Diplomatici/Dirigenti, tenendone conto ai fini dell’assegnazione degli incarichi e del loro avanzamento di carriera.</w:t>
      </w:r>
    </w:p>
    <w:p w:rsidR="00D04EC2" w:rsidRPr="00581F68" w:rsidRDefault="00D04EC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111" w:rsidRPr="00581F68" w:rsidRDefault="00D04EC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8">
        <w:rPr>
          <w:rFonts w:ascii="Times New Roman" w:eastAsia="Times New Roman" w:hAnsi="Times New Roman" w:cs="Times New Roman"/>
          <w:sz w:val="28"/>
          <w:szCs w:val="28"/>
        </w:rPr>
        <w:t xml:space="preserve">Nel salutarla mi auguro che lei possa intervenire quantomeno per cominciare a risolvere i gravi problemi che le abbiamo segnalato e che </w:t>
      </w:r>
      <w:r w:rsidR="0003415C">
        <w:rPr>
          <w:rFonts w:ascii="Times New Roman" w:eastAsia="Times New Roman" w:hAnsi="Times New Roman" w:cs="Times New Roman"/>
          <w:sz w:val="28"/>
          <w:szCs w:val="28"/>
        </w:rPr>
        <w:t xml:space="preserve">questo incontro sia l’inizio di </w:t>
      </w:r>
      <w:r w:rsidR="00997111" w:rsidRPr="00581F68">
        <w:rPr>
          <w:rFonts w:ascii="Times New Roman" w:eastAsia="Times New Roman" w:hAnsi="Times New Roman" w:cs="Times New Roman"/>
          <w:sz w:val="28"/>
          <w:szCs w:val="28"/>
        </w:rPr>
        <w:t>un dialogo</w:t>
      </w:r>
      <w:r w:rsidR="0003415C">
        <w:rPr>
          <w:rFonts w:ascii="Times New Roman" w:eastAsia="Times New Roman" w:hAnsi="Times New Roman" w:cs="Times New Roman"/>
          <w:sz w:val="28"/>
          <w:szCs w:val="28"/>
        </w:rPr>
        <w:t xml:space="preserve"> costruttivo per rimettere in carreggiata questa macchina che da troppo tempo ha perso forza propulsiva</w:t>
      </w:r>
      <w:r w:rsidR="00997111" w:rsidRPr="00581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EC2" w:rsidRPr="00822672" w:rsidRDefault="00D04EC2" w:rsidP="0075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213" w:rsidRDefault="008B321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7E7FC9" w:rsidRPr="003E7144" w:rsidRDefault="007E7FC9" w:rsidP="007E7FC9">
      <w:pPr>
        <w:pStyle w:val="NormaleWeb"/>
        <w:spacing w:before="0" w:after="0"/>
        <w:jc w:val="both"/>
        <w:rPr>
          <w:b/>
          <w:i/>
        </w:rPr>
      </w:pPr>
      <w:r w:rsidRPr="003E7144">
        <w:rPr>
          <w:b/>
          <w:i/>
        </w:rPr>
        <w:lastRenderedPageBreak/>
        <w:t>Dati statistici su rapporto</w:t>
      </w:r>
      <w:r w:rsidR="00E55535" w:rsidRPr="003E7144">
        <w:rPr>
          <w:b/>
          <w:i/>
        </w:rPr>
        <w:t xml:space="preserve"> D</w:t>
      </w:r>
      <w:r w:rsidRPr="003E7144">
        <w:rPr>
          <w:b/>
          <w:i/>
        </w:rPr>
        <w:t>iplo</w:t>
      </w:r>
      <w:r w:rsidR="00E55535" w:rsidRPr="003E7144">
        <w:rPr>
          <w:b/>
          <w:i/>
        </w:rPr>
        <w:t>matici</w:t>
      </w:r>
      <w:r w:rsidRPr="003E7144">
        <w:rPr>
          <w:b/>
          <w:i/>
        </w:rPr>
        <w:t>/</w:t>
      </w:r>
      <w:r w:rsidR="00E55535" w:rsidRPr="003E7144">
        <w:rPr>
          <w:b/>
          <w:i/>
        </w:rPr>
        <w:t>AA.FF.</w:t>
      </w:r>
      <w:r w:rsidRPr="003E7144">
        <w:rPr>
          <w:b/>
          <w:i/>
        </w:rPr>
        <w:t xml:space="preserve"> /contratt</w:t>
      </w:r>
      <w:r w:rsidR="00E55535" w:rsidRPr="003E7144">
        <w:rPr>
          <w:b/>
          <w:i/>
        </w:rPr>
        <w:t>isti, sia su Roma che sull’estero.</w:t>
      </w:r>
    </w:p>
    <w:p w:rsidR="00E55535" w:rsidRPr="007E7FC9" w:rsidRDefault="00E55535" w:rsidP="007E7FC9">
      <w:pPr>
        <w:pStyle w:val="NormaleWeb"/>
        <w:spacing w:before="0" w:after="0"/>
        <w:jc w:val="both"/>
      </w:pPr>
    </w:p>
    <w:tbl>
      <w:tblPr>
        <w:tblStyle w:val="Grigliatabella"/>
        <w:tblW w:w="10173" w:type="dxa"/>
        <w:tblLayout w:type="fixed"/>
        <w:tblLook w:val="04A0"/>
      </w:tblPr>
      <w:tblGrid>
        <w:gridCol w:w="2518"/>
        <w:gridCol w:w="1418"/>
        <w:gridCol w:w="1701"/>
        <w:gridCol w:w="1439"/>
        <w:gridCol w:w="1538"/>
        <w:gridCol w:w="1559"/>
      </w:tblGrid>
      <w:tr w:rsidR="007E7FC9" w:rsidRPr="007E7FC9" w:rsidTr="00154A33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  <w:r w:rsidRPr="007E7FC9">
              <w:t>Diplomatici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  <w:r w:rsidRPr="007E7FC9">
              <w:t>Dirigenti amministrativi e APC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  <w:r w:rsidRPr="007E7FC9">
              <w:t>Aree Funzionali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  <w:r w:rsidRPr="007E7FC9">
              <w:t>Aree Funzionali  APC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E7FC9" w:rsidRPr="007E7FC9" w:rsidRDefault="007E7FC9" w:rsidP="00154A33">
            <w:pPr>
              <w:pStyle w:val="NormaleWeb"/>
              <w:spacing w:before="170" w:after="0"/>
              <w:jc w:val="center"/>
            </w:pPr>
            <w:r w:rsidRPr="007E7FC9">
              <w:t>Personale Contrattista</w:t>
            </w: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both"/>
            </w:pPr>
            <w:r w:rsidRPr="007E7FC9">
              <w:t>Totale anno 2009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919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44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3612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179</w:t>
            </w: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2349</w:t>
            </w: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both"/>
            </w:pPr>
            <w:r w:rsidRPr="007E7FC9">
              <w:rPr>
                <w:i/>
                <w:sz w:val="22"/>
              </w:rPr>
              <w:t>di cui,</w:t>
            </w:r>
            <w:r w:rsidRPr="007E7FC9">
              <w:tab/>
            </w:r>
            <w:r w:rsidRPr="007E7FC9">
              <w:rPr>
                <w:i/>
                <w:sz w:val="20"/>
              </w:rPr>
              <w:t>Roma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383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29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1677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36</w:t>
            </w: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0</w:t>
            </w: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both"/>
              <w:rPr>
                <w:i/>
                <w:sz w:val="20"/>
                <w:szCs w:val="20"/>
              </w:rPr>
            </w:pPr>
            <w:r w:rsidRPr="007E7FC9">
              <w:tab/>
            </w:r>
            <w:r w:rsidRPr="007E7FC9">
              <w:rPr>
                <w:i/>
                <w:sz w:val="20"/>
                <w:szCs w:val="20"/>
              </w:rPr>
              <w:t>Estero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536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15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1935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143</w:t>
            </w: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  <w:rPr>
                <w:i/>
                <w:sz w:val="20"/>
              </w:rPr>
            </w:pPr>
            <w:r w:rsidRPr="007E7FC9">
              <w:rPr>
                <w:i/>
                <w:sz w:val="20"/>
              </w:rPr>
              <w:t>2349</w:t>
            </w: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both"/>
            </w:pP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both"/>
            </w:pPr>
            <w:r w:rsidRPr="007E7FC9">
              <w:t>Totale ad oggi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996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43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2497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93</w:t>
            </w: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jc w:val="right"/>
            </w:pPr>
            <w:r w:rsidRPr="007E7FC9">
              <w:t>2716</w:t>
            </w:r>
          </w:p>
        </w:tc>
      </w:tr>
      <w:tr w:rsidR="007E7FC9" w:rsidRPr="007E7FC9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both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di cui,</w:t>
            </w:r>
            <w:r w:rsidRPr="007E7FC9">
              <w:rPr>
                <w:i/>
                <w:sz w:val="22"/>
              </w:rPr>
              <w:tab/>
              <w:t>Roma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444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25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1250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24</w:t>
            </w:r>
          </w:p>
        </w:tc>
        <w:tc>
          <w:tcPr>
            <w:tcW w:w="1559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</w:p>
        </w:tc>
      </w:tr>
      <w:tr w:rsidR="007E7FC9" w:rsidRPr="00B23AA6" w:rsidTr="00154A33">
        <w:tc>
          <w:tcPr>
            <w:tcW w:w="25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both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ab/>
              <w:t>Estero</w:t>
            </w:r>
          </w:p>
        </w:tc>
        <w:tc>
          <w:tcPr>
            <w:tcW w:w="141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552</w:t>
            </w:r>
          </w:p>
        </w:tc>
        <w:tc>
          <w:tcPr>
            <w:tcW w:w="1701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18</w:t>
            </w:r>
          </w:p>
        </w:tc>
        <w:tc>
          <w:tcPr>
            <w:tcW w:w="1439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1247</w:t>
            </w:r>
          </w:p>
        </w:tc>
        <w:tc>
          <w:tcPr>
            <w:tcW w:w="1538" w:type="dxa"/>
          </w:tcPr>
          <w:p w:rsidR="007E7FC9" w:rsidRPr="007E7FC9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69</w:t>
            </w:r>
          </w:p>
        </w:tc>
        <w:tc>
          <w:tcPr>
            <w:tcW w:w="1559" w:type="dxa"/>
          </w:tcPr>
          <w:p w:rsidR="007E7FC9" w:rsidRPr="00B23AA6" w:rsidRDefault="007E7FC9" w:rsidP="00154A33">
            <w:pPr>
              <w:pStyle w:val="NormaleWeb"/>
              <w:spacing w:before="170" w:after="0"/>
              <w:ind w:left="735" w:hanging="709"/>
              <w:jc w:val="right"/>
              <w:rPr>
                <w:i/>
                <w:sz w:val="22"/>
              </w:rPr>
            </w:pPr>
            <w:r w:rsidRPr="007E7FC9">
              <w:rPr>
                <w:i/>
                <w:sz w:val="22"/>
              </w:rPr>
              <w:t>2716</w:t>
            </w:r>
          </w:p>
        </w:tc>
      </w:tr>
    </w:tbl>
    <w:p w:rsidR="007E7FC9" w:rsidRDefault="007E7FC9" w:rsidP="007E7FC9"/>
    <w:p w:rsidR="00083AC1" w:rsidRDefault="00083AC1"/>
    <w:p w:rsidR="00083AC1" w:rsidRDefault="00083AC1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3253A" w:rsidRDefault="00D3253A"/>
    <w:p w:rsidR="00DC457A" w:rsidRDefault="00DC457A" w:rsidP="00DC457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:rsidR="00DC457A" w:rsidRDefault="00DC457A" w:rsidP="00DC457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DC457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lastRenderedPageBreak/>
        <w:t>Personale in servizio presso alcune Sedi</w:t>
      </w:r>
    </w:p>
    <w:tbl>
      <w:tblPr>
        <w:tblW w:w="1016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407"/>
        <w:gridCol w:w="1440"/>
        <w:gridCol w:w="1440"/>
        <w:gridCol w:w="1440"/>
        <w:gridCol w:w="1440"/>
      </w:tblGrid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D3253A" w:rsidRPr="00D3253A" w:rsidTr="00D3253A">
        <w:trPr>
          <w:trHeight w:val="705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Diplomatici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Aree Funzionali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Contrattisti</w:t>
            </w:r>
          </w:p>
        </w:tc>
      </w:tr>
      <w:tr w:rsidR="00D3253A" w:rsidRPr="00D3253A" w:rsidTr="00D3253A">
        <w:trPr>
          <w:trHeight w:val="360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III area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253A">
              <w:rPr>
                <w:rFonts w:ascii="Calibri" w:eastAsia="Times New Roman" w:hAnsi="Calibri" w:cs="Calibri"/>
                <w:color w:val="000000"/>
              </w:rPr>
              <w:t>II area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EGITTO: CAIRO AM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MOZAMBICO: MAPUTO AM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INDIA: NEW DELHI AM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URUGAY: MONTEVIDEO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 UNTI D'AMERICA: WASHINGTON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STATI UNTI D'AMERICA: NEW YORK CG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SVEZIA: STOCCOLMA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D3253A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REGNO UNITO: LONDRA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REGNO UNITO: LONDRA CG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REPUBBLICA POP. CINESE: CHONGQING CG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D3253A" w:rsidRPr="00D3253A" w:rsidTr="00D3253A">
        <w:trPr>
          <w:trHeight w:val="499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REPUBBLICA POP. CINESE:  PECHINO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3A" w:rsidRPr="00D3253A" w:rsidRDefault="00D3253A" w:rsidP="00D32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25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</w:tr>
    </w:tbl>
    <w:p w:rsidR="00D3253A" w:rsidRDefault="00D3253A"/>
    <w:sectPr w:rsidR="00D3253A" w:rsidSect="008B32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92324" w15:done="0"/>
  <w15:commentEx w15:paraId="1A15DC5F" w15:done="0"/>
  <w15:commentEx w15:paraId="44908072" w15:done="0"/>
  <w15:commentEx w15:paraId="63F22B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0C" w:rsidRDefault="0019170C" w:rsidP="000D50CB">
      <w:pPr>
        <w:spacing w:after="0" w:line="240" w:lineRule="auto"/>
      </w:pPr>
      <w:r>
        <w:separator/>
      </w:r>
    </w:p>
  </w:endnote>
  <w:endnote w:type="continuationSeparator" w:id="1">
    <w:p w:rsidR="0019170C" w:rsidRDefault="0019170C" w:rsidP="000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B" w:rsidRDefault="000D50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70752"/>
      <w:docPartObj>
        <w:docPartGallery w:val="Page Numbers (Bottom of Page)"/>
        <w:docPartUnique/>
      </w:docPartObj>
    </w:sdtPr>
    <w:sdtContent>
      <w:p w:rsidR="00C833E7" w:rsidRDefault="002E76EE">
        <w:pPr>
          <w:pStyle w:val="Pidipagina"/>
          <w:jc w:val="right"/>
        </w:pPr>
        <w:fldSimple w:instr=" PAGE   \* MERGEFORMAT ">
          <w:r w:rsidR="002E1014">
            <w:rPr>
              <w:noProof/>
            </w:rPr>
            <w:t>1</w:t>
          </w:r>
        </w:fldSimple>
      </w:p>
    </w:sdtContent>
  </w:sdt>
  <w:p w:rsidR="000D50CB" w:rsidRDefault="000D50C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B" w:rsidRDefault="000D50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0C" w:rsidRDefault="0019170C" w:rsidP="000D50CB">
      <w:pPr>
        <w:spacing w:after="0" w:line="240" w:lineRule="auto"/>
      </w:pPr>
      <w:r>
        <w:separator/>
      </w:r>
    </w:p>
  </w:footnote>
  <w:footnote w:type="continuationSeparator" w:id="1">
    <w:p w:rsidR="0019170C" w:rsidRDefault="0019170C" w:rsidP="000D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B" w:rsidRDefault="000D50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B" w:rsidRDefault="000D50C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CB" w:rsidRDefault="000D50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8D"/>
    <w:multiLevelType w:val="hybridMultilevel"/>
    <w:tmpl w:val="ADE6E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62943"/>
    <w:multiLevelType w:val="hybridMultilevel"/>
    <w:tmpl w:val="F12829A8"/>
    <w:lvl w:ilvl="0" w:tplc="EC5E5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F2D4B"/>
    <w:multiLevelType w:val="hybridMultilevel"/>
    <w:tmpl w:val="AE42B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C24A9"/>
    <w:multiLevelType w:val="hybridMultilevel"/>
    <w:tmpl w:val="832E175A"/>
    <w:lvl w:ilvl="0" w:tplc="045A4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sto Roberto">
    <w15:presenceInfo w15:providerId="AD" w15:userId="S-1-5-21-2922639547-434391460-3162615680-134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C2E"/>
    <w:rsid w:val="0001220C"/>
    <w:rsid w:val="00017B6B"/>
    <w:rsid w:val="00026243"/>
    <w:rsid w:val="0003415C"/>
    <w:rsid w:val="00042243"/>
    <w:rsid w:val="00044697"/>
    <w:rsid w:val="00065175"/>
    <w:rsid w:val="00077117"/>
    <w:rsid w:val="00080FBA"/>
    <w:rsid w:val="00083AC1"/>
    <w:rsid w:val="00087DFD"/>
    <w:rsid w:val="000A7343"/>
    <w:rsid w:val="000C07CA"/>
    <w:rsid w:val="000D50CB"/>
    <w:rsid w:val="000E67C7"/>
    <w:rsid w:val="00150C5B"/>
    <w:rsid w:val="001602D0"/>
    <w:rsid w:val="0017588A"/>
    <w:rsid w:val="0019170C"/>
    <w:rsid w:val="00197472"/>
    <w:rsid w:val="001B369C"/>
    <w:rsid w:val="001D0613"/>
    <w:rsid w:val="001E181D"/>
    <w:rsid w:val="0023714D"/>
    <w:rsid w:val="002518A0"/>
    <w:rsid w:val="00282F82"/>
    <w:rsid w:val="002B0042"/>
    <w:rsid w:val="002C268C"/>
    <w:rsid w:val="002E1014"/>
    <w:rsid w:val="002E76EE"/>
    <w:rsid w:val="002F219F"/>
    <w:rsid w:val="00323F4C"/>
    <w:rsid w:val="003333FE"/>
    <w:rsid w:val="00341376"/>
    <w:rsid w:val="003A6C5C"/>
    <w:rsid w:val="003E5D4C"/>
    <w:rsid w:val="003E7144"/>
    <w:rsid w:val="00457EAA"/>
    <w:rsid w:val="004A41E1"/>
    <w:rsid w:val="004B0325"/>
    <w:rsid w:val="004B1DB4"/>
    <w:rsid w:val="004B5EBF"/>
    <w:rsid w:val="004D4C01"/>
    <w:rsid w:val="004F3F86"/>
    <w:rsid w:val="0052449A"/>
    <w:rsid w:val="005405A4"/>
    <w:rsid w:val="00566C07"/>
    <w:rsid w:val="00581F68"/>
    <w:rsid w:val="005831DA"/>
    <w:rsid w:val="0059253C"/>
    <w:rsid w:val="005B62A3"/>
    <w:rsid w:val="005D6910"/>
    <w:rsid w:val="005E4189"/>
    <w:rsid w:val="006218F1"/>
    <w:rsid w:val="00641A68"/>
    <w:rsid w:val="0064257B"/>
    <w:rsid w:val="006625DD"/>
    <w:rsid w:val="00682031"/>
    <w:rsid w:val="0069744E"/>
    <w:rsid w:val="006C5DCD"/>
    <w:rsid w:val="006D1548"/>
    <w:rsid w:val="006F1E5B"/>
    <w:rsid w:val="00717A34"/>
    <w:rsid w:val="00737EDB"/>
    <w:rsid w:val="0075318A"/>
    <w:rsid w:val="007534E4"/>
    <w:rsid w:val="00756C2E"/>
    <w:rsid w:val="007A60FA"/>
    <w:rsid w:val="007C7977"/>
    <w:rsid w:val="007D4411"/>
    <w:rsid w:val="007D722B"/>
    <w:rsid w:val="007E7FC9"/>
    <w:rsid w:val="00822672"/>
    <w:rsid w:val="008659CA"/>
    <w:rsid w:val="008A1AE0"/>
    <w:rsid w:val="008A4CAF"/>
    <w:rsid w:val="008A4FB5"/>
    <w:rsid w:val="008B12E3"/>
    <w:rsid w:val="008B3213"/>
    <w:rsid w:val="00915E75"/>
    <w:rsid w:val="00946B00"/>
    <w:rsid w:val="00952744"/>
    <w:rsid w:val="0095570A"/>
    <w:rsid w:val="0099234C"/>
    <w:rsid w:val="00997111"/>
    <w:rsid w:val="009B25BB"/>
    <w:rsid w:val="009D6FCC"/>
    <w:rsid w:val="00A3291F"/>
    <w:rsid w:val="00A35423"/>
    <w:rsid w:val="00A55D74"/>
    <w:rsid w:val="00A60207"/>
    <w:rsid w:val="00A82797"/>
    <w:rsid w:val="00AC1435"/>
    <w:rsid w:val="00AC5B63"/>
    <w:rsid w:val="00AC7AAC"/>
    <w:rsid w:val="00B2049E"/>
    <w:rsid w:val="00B21B9F"/>
    <w:rsid w:val="00B23AA6"/>
    <w:rsid w:val="00B34533"/>
    <w:rsid w:val="00B37B0F"/>
    <w:rsid w:val="00B57FBB"/>
    <w:rsid w:val="00B947FC"/>
    <w:rsid w:val="00BA4828"/>
    <w:rsid w:val="00BE72DC"/>
    <w:rsid w:val="00BF01FC"/>
    <w:rsid w:val="00BF60E8"/>
    <w:rsid w:val="00C678D2"/>
    <w:rsid w:val="00C679F8"/>
    <w:rsid w:val="00C833E7"/>
    <w:rsid w:val="00CA23D9"/>
    <w:rsid w:val="00CE3FAF"/>
    <w:rsid w:val="00CF3785"/>
    <w:rsid w:val="00CF6F38"/>
    <w:rsid w:val="00D04EC2"/>
    <w:rsid w:val="00D3253A"/>
    <w:rsid w:val="00DC457A"/>
    <w:rsid w:val="00DF4F10"/>
    <w:rsid w:val="00E07FDC"/>
    <w:rsid w:val="00E2559C"/>
    <w:rsid w:val="00E260DF"/>
    <w:rsid w:val="00E55535"/>
    <w:rsid w:val="00E57913"/>
    <w:rsid w:val="00E804BA"/>
    <w:rsid w:val="00E832F0"/>
    <w:rsid w:val="00EA0A21"/>
    <w:rsid w:val="00EE0DFF"/>
    <w:rsid w:val="00EE4D49"/>
    <w:rsid w:val="00F04CCC"/>
    <w:rsid w:val="00F1151A"/>
    <w:rsid w:val="00F16B02"/>
    <w:rsid w:val="00F546CF"/>
    <w:rsid w:val="00F76745"/>
    <w:rsid w:val="00F77B16"/>
    <w:rsid w:val="00F9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56C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1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1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1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1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19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19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44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D5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50CB"/>
  </w:style>
  <w:style w:type="paragraph" w:styleId="Pidipagina">
    <w:name w:val="footer"/>
    <w:basedOn w:val="Normale"/>
    <w:link w:val="PidipaginaCarattere"/>
    <w:uiPriority w:val="99"/>
    <w:unhideWhenUsed/>
    <w:rsid w:val="000D5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6A95-1453-4989-A4F6-05F1E8BE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CGIL ESTERI</dc:creator>
  <cp:lastModifiedBy>pc</cp:lastModifiedBy>
  <cp:revision>2</cp:revision>
  <cp:lastPrinted>2019-07-29T11:58:00Z</cp:lastPrinted>
  <dcterms:created xsi:type="dcterms:W3CDTF">2019-08-01T09:11:00Z</dcterms:created>
  <dcterms:modified xsi:type="dcterms:W3CDTF">2019-08-01T09:11:00Z</dcterms:modified>
</cp:coreProperties>
</file>