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4" w:type="dxa"/>
        <w:tblLook w:val="01E0"/>
      </w:tblPr>
      <w:tblGrid>
        <w:gridCol w:w="5211"/>
        <w:gridCol w:w="5103"/>
      </w:tblGrid>
      <w:tr w:rsidR="00F56E60" w:rsidRPr="00C7066D" w:rsidTr="00CC5B49">
        <w:tc>
          <w:tcPr>
            <w:tcW w:w="5211" w:type="dxa"/>
          </w:tcPr>
          <w:p w:rsidR="00F56E60" w:rsidRPr="00C7066D" w:rsidRDefault="00F56E60" w:rsidP="00A01688">
            <w:pPr>
              <w:spacing w:after="0" w:line="240" w:lineRule="auto"/>
              <w:jc w:val="center"/>
              <w:rPr>
                <w:rFonts w:ascii="Times New Roman" w:hAnsi="Times New Roman"/>
                <w:sz w:val="24"/>
                <w:szCs w:val="24"/>
              </w:rPr>
            </w:pPr>
            <w:r w:rsidRPr="00C7066D">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i1025" type="#_x0000_t75" alt="Cgil" style="width:48.75pt;height:61.5pt;visibility:visible">
                  <v:imagedata r:id="rId5" o:title=""/>
                </v:shape>
              </w:pict>
            </w:r>
          </w:p>
        </w:tc>
        <w:tc>
          <w:tcPr>
            <w:tcW w:w="5103" w:type="dxa"/>
          </w:tcPr>
          <w:p w:rsidR="00F56E60" w:rsidRPr="00C7066D" w:rsidRDefault="00F56E60" w:rsidP="00A01688">
            <w:pPr>
              <w:spacing w:after="0" w:line="240" w:lineRule="auto"/>
              <w:jc w:val="center"/>
              <w:rPr>
                <w:rFonts w:ascii="Times New Roman" w:hAnsi="Times New Roman"/>
                <w:sz w:val="24"/>
                <w:szCs w:val="24"/>
              </w:rPr>
            </w:pPr>
            <w:r>
              <w:rPr>
                <w:rFonts w:ascii="Tahoma" w:hAnsi="Tahoma" w:cs="Tahoma"/>
                <w:b/>
                <w:sz w:val="44"/>
                <w:szCs w:val="44"/>
              </w:rPr>
              <w:t xml:space="preserve">  </w:t>
            </w:r>
            <w:r w:rsidRPr="00C7066D">
              <w:rPr>
                <w:rFonts w:ascii="Tahoma" w:hAnsi="Tahoma" w:cs="Tahoma"/>
                <w:b/>
                <w:noProof/>
                <w:sz w:val="44"/>
                <w:szCs w:val="44"/>
              </w:rPr>
              <w:pict>
                <v:shape id="Immagine 2" o:spid="_x0000_i1026" type="#_x0000_t75" alt="Cisl" style="width:86.25pt;height:63.75pt;visibility:visible">
                  <v:imagedata r:id="rId6" o:title=""/>
                </v:shape>
              </w:pict>
            </w:r>
          </w:p>
        </w:tc>
      </w:tr>
      <w:tr w:rsidR="00F56E60" w:rsidRPr="00C7066D" w:rsidTr="00CC5B49">
        <w:tc>
          <w:tcPr>
            <w:tcW w:w="5211" w:type="dxa"/>
          </w:tcPr>
          <w:p w:rsidR="00F56E60" w:rsidRPr="00C7066D" w:rsidRDefault="00F56E60" w:rsidP="00A01688">
            <w:pPr>
              <w:spacing w:after="0" w:line="240" w:lineRule="auto"/>
              <w:jc w:val="center"/>
              <w:rPr>
                <w:rFonts w:ascii="Times New Roman" w:hAnsi="Times New Roman"/>
                <w:sz w:val="24"/>
                <w:szCs w:val="24"/>
              </w:rPr>
            </w:pPr>
            <w:r w:rsidRPr="00C7066D">
              <w:rPr>
                <w:rFonts w:ascii="Times New Roman" w:hAnsi="Times New Roman"/>
                <w:b/>
                <w:bCs/>
                <w:sz w:val="16"/>
                <w:szCs w:val="16"/>
              </w:rPr>
              <w:t>COORDINAMENTO</w:t>
            </w:r>
          </w:p>
        </w:tc>
        <w:tc>
          <w:tcPr>
            <w:tcW w:w="5103" w:type="dxa"/>
          </w:tcPr>
          <w:p w:rsidR="00F56E60" w:rsidRPr="00C7066D" w:rsidRDefault="00F56E60" w:rsidP="00A01688">
            <w:pPr>
              <w:spacing w:after="0" w:line="240" w:lineRule="auto"/>
              <w:jc w:val="center"/>
              <w:rPr>
                <w:rFonts w:ascii="Times New Roman" w:hAnsi="Times New Roman"/>
                <w:color w:val="008000"/>
                <w:sz w:val="24"/>
                <w:szCs w:val="24"/>
              </w:rPr>
            </w:pPr>
            <w:r w:rsidRPr="00C7066D">
              <w:rPr>
                <w:rFonts w:ascii="Times New Roman" w:hAnsi="Times New Roman"/>
                <w:b/>
                <w:bCs/>
                <w:color w:val="008000"/>
                <w:sz w:val="16"/>
                <w:szCs w:val="16"/>
              </w:rPr>
              <w:t>COORDINAMENTO</w:t>
            </w:r>
          </w:p>
        </w:tc>
      </w:tr>
      <w:tr w:rsidR="00F56E60" w:rsidRPr="00C7066D" w:rsidTr="00CC5B49">
        <w:tc>
          <w:tcPr>
            <w:tcW w:w="5211" w:type="dxa"/>
          </w:tcPr>
          <w:p w:rsidR="00F56E60" w:rsidRPr="00C7066D" w:rsidRDefault="00F56E60" w:rsidP="00A01688">
            <w:pPr>
              <w:spacing w:after="0" w:line="240" w:lineRule="auto"/>
              <w:jc w:val="center"/>
              <w:rPr>
                <w:rFonts w:ascii="Times New Roman" w:hAnsi="Times New Roman"/>
                <w:sz w:val="24"/>
                <w:szCs w:val="24"/>
              </w:rPr>
            </w:pPr>
            <w:r w:rsidRPr="00C7066D">
              <w:rPr>
                <w:rFonts w:ascii="Times New Roman" w:hAnsi="Times New Roman"/>
                <w:b/>
                <w:bCs/>
                <w:sz w:val="16"/>
                <w:szCs w:val="16"/>
              </w:rPr>
              <w:t>ESTERI</w:t>
            </w:r>
          </w:p>
        </w:tc>
        <w:tc>
          <w:tcPr>
            <w:tcW w:w="5103" w:type="dxa"/>
          </w:tcPr>
          <w:p w:rsidR="00F56E60" w:rsidRPr="00C7066D" w:rsidRDefault="00F56E60" w:rsidP="00A01688">
            <w:pPr>
              <w:spacing w:after="0" w:line="240" w:lineRule="auto"/>
              <w:jc w:val="center"/>
              <w:rPr>
                <w:rFonts w:ascii="Times New Roman" w:hAnsi="Times New Roman"/>
                <w:color w:val="008000"/>
                <w:sz w:val="24"/>
                <w:szCs w:val="24"/>
              </w:rPr>
            </w:pPr>
            <w:r w:rsidRPr="00C7066D">
              <w:rPr>
                <w:rFonts w:ascii="Times New Roman" w:hAnsi="Times New Roman"/>
                <w:b/>
                <w:bCs/>
                <w:color w:val="008000"/>
                <w:sz w:val="16"/>
                <w:szCs w:val="16"/>
              </w:rPr>
              <w:t>ESTERI</w:t>
            </w:r>
          </w:p>
        </w:tc>
      </w:tr>
    </w:tbl>
    <w:p w:rsidR="00F56E60" w:rsidRPr="007D340A" w:rsidRDefault="00F56E60" w:rsidP="00B85E78">
      <w:pPr>
        <w:jc w:val="both"/>
        <w:rPr>
          <w:rFonts w:ascii="Times New Roman" w:hAnsi="Times New Roman"/>
          <w:sz w:val="4"/>
          <w:szCs w:val="4"/>
        </w:rPr>
      </w:pPr>
      <w:bookmarkStart w:id="0" w:name="_GoBack"/>
    </w:p>
    <w:bookmarkEnd w:id="0"/>
    <w:p w:rsidR="00F56E60" w:rsidRPr="00C64DFB" w:rsidRDefault="00F56E60" w:rsidP="00C64DFB">
      <w:pPr>
        <w:jc w:val="center"/>
        <w:rPr>
          <w:rFonts w:ascii="Times New Roman" w:hAnsi="Times New Roman"/>
          <w:sz w:val="72"/>
          <w:szCs w:val="72"/>
        </w:rPr>
      </w:pPr>
      <w:r w:rsidRPr="00C64DFB">
        <w:rPr>
          <w:rFonts w:ascii="Times New Roman" w:hAnsi="Times New Roman"/>
          <w:sz w:val="72"/>
          <w:szCs w:val="72"/>
        </w:rPr>
        <w:t>FUA 2015</w:t>
      </w:r>
    </w:p>
    <w:p w:rsidR="00F56E60" w:rsidRPr="00C64DFB" w:rsidRDefault="00F56E60" w:rsidP="00B85E78">
      <w:pPr>
        <w:jc w:val="both"/>
        <w:rPr>
          <w:rFonts w:ascii="Times New Roman" w:hAnsi="Times New Roman"/>
        </w:rPr>
      </w:pPr>
      <w:r w:rsidRPr="00C64DFB">
        <w:rPr>
          <w:rFonts w:ascii="Times New Roman" w:hAnsi="Times New Roman"/>
        </w:rPr>
        <w:t xml:space="preserve">Il 4 novembre u.s. l’Amministrazione e i Sindacati UIL, UNSA, FLP, UGL INTESA hanno firmato l’accordo per il FUA 2015. </w:t>
      </w:r>
      <w:r w:rsidRPr="00C64DFB">
        <w:rPr>
          <w:rFonts w:ascii="Times New Roman" w:hAnsi="Times New Roman"/>
          <w:b/>
        </w:rPr>
        <w:t>Noi abbiamo, invece, deciso di non firmare.</w:t>
      </w:r>
      <w:r w:rsidRPr="00C64DFB">
        <w:rPr>
          <w:rFonts w:ascii="Times New Roman" w:hAnsi="Times New Roman"/>
        </w:rPr>
        <w:t xml:space="preserve"> </w:t>
      </w:r>
    </w:p>
    <w:p w:rsidR="00F56E60" w:rsidRPr="00C64DFB" w:rsidRDefault="00F56E60" w:rsidP="00B85E78">
      <w:pPr>
        <w:jc w:val="both"/>
        <w:rPr>
          <w:rFonts w:ascii="Times New Roman" w:hAnsi="Times New Roman"/>
        </w:rPr>
      </w:pPr>
      <w:r w:rsidRPr="00C64DFB">
        <w:rPr>
          <w:rFonts w:ascii="Times New Roman" w:hAnsi="Times New Roman"/>
        </w:rPr>
        <w:t>Le ragioni che – per la prima volta da quanto esiste il FUA – ci hanno spinto a questa grave scelta, sono di grande importanza:</w:t>
      </w:r>
    </w:p>
    <w:p w:rsidR="00F56E60" w:rsidRPr="00C64DFB" w:rsidRDefault="00F56E60" w:rsidP="00B85E78">
      <w:pPr>
        <w:pStyle w:val="ListParagraph"/>
        <w:numPr>
          <w:ilvl w:val="0"/>
          <w:numId w:val="1"/>
        </w:numPr>
        <w:spacing w:before="120" w:after="0"/>
        <w:ind w:left="357" w:hanging="357"/>
        <w:contextualSpacing w:val="0"/>
        <w:jc w:val="both"/>
        <w:rPr>
          <w:rFonts w:ascii="Times New Roman" w:hAnsi="Times New Roman"/>
          <w:i/>
        </w:rPr>
      </w:pPr>
      <w:r w:rsidRPr="00C64DFB">
        <w:rPr>
          <w:rFonts w:ascii="Times New Roman" w:hAnsi="Times New Roman"/>
        </w:rPr>
        <w:t>Sul piano generale e politico riteniamo inaccettabile lo “scippo” delle risorse variabili dei FUA dei Ministeri operato dal Governo, e abbiamo valutato che, coerentemente con l’azione di contrasto che stanno portando avanti le Federazioni Nazionali CGIL-CISL-UIL, non vi siano i presupposti per sottoscrivere Accordi decentrati sul FUA almeno finché tale vertenza con il Governo non sarà conclusa</w:t>
      </w:r>
      <w:r w:rsidRPr="00C64DFB">
        <w:rPr>
          <w:rFonts w:ascii="Times New Roman" w:hAnsi="Times New Roman"/>
          <w:i/>
        </w:rPr>
        <w:t>. E’ grave che solo il MAECI abbia già concluso l’Accordo.</w:t>
      </w:r>
    </w:p>
    <w:p w:rsidR="00F56E60" w:rsidRPr="00C64DFB" w:rsidRDefault="00F56E60" w:rsidP="00B85E78">
      <w:pPr>
        <w:pStyle w:val="ListParagraph"/>
        <w:spacing w:before="120" w:after="0"/>
        <w:ind w:left="357"/>
        <w:contextualSpacing w:val="0"/>
        <w:jc w:val="both"/>
        <w:rPr>
          <w:rFonts w:ascii="Times New Roman" w:hAnsi="Times New Roman"/>
        </w:rPr>
      </w:pPr>
      <w:r w:rsidRPr="00C64DFB">
        <w:rPr>
          <w:rFonts w:ascii="Times New Roman" w:hAnsi="Times New Roman"/>
          <w:b/>
        </w:rPr>
        <w:t>Firmare ora indebolisce di fatto la protesta nazionale e rappresenta l’ accettazione della decisione gravissima del Governo di togliere risorse economiche ai lavoratori: e ciò a prescindere dall’importo che concretamente viene sottratto. Se passa questo principio, si apre il varco a futuri e ben più pesanti interventi sulle somme destinate al FUA:</w:t>
      </w:r>
      <w:r w:rsidRPr="00C64DFB">
        <w:rPr>
          <w:rFonts w:ascii="Times New Roman" w:hAnsi="Times New Roman"/>
        </w:rPr>
        <w:t xml:space="preserve"> non a caso la Legge di Stabilità blocca le risorse per il 2016 fino a che la Ministra Madia non avrà emanato i decreti attuativi della “sua” riforma della PA!</w:t>
      </w:r>
    </w:p>
    <w:p w:rsidR="00F56E60" w:rsidRPr="00C64DFB" w:rsidRDefault="00F56E60" w:rsidP="00B85E78">
      <w:pPr>
        <w:pStyle w:val="ListParagraph"/>
        <w:numPr>
          <w:ilvl w:val="0"/>
          <w:numId w:val="1"/>
        </w:numPr>
        <w:spacing w:before="120" w:after="0"/>
        <w:contextualSpacing w:val="0"/>
        <w:jc w:val="both"/>
        <w:rPr>
          <w:rFonts w:ascii="Times New Roman" w:hAnsi="Times New Roman"/>
        </w:rPr>
      </w:pPr>
      <w:r w:rsidRPr="00C64DFB">
        <w:rPr>
          <w:rFonts w:ascii="Times New Roman" w:hAnsi="Times New Roman"/>
        </w:rPr>
        <w:t>Sotto il profilo tecnico, la decisione di non firmare è scaturita dal fatto che l’ipotesi di Accordo è stata sottoposta alla firma senza che vi sia stata una seria ed articolata contrattazione sui contenuti e sulla ripartizione delle risorse. Non è stata una trattativa ma informativa che l’Amministrazione  ha presentato  ai Sindacati, pur se dettagliata nei contenuti.</w:t>
      </w:r>
    </w:p>
    <w:p w:rsidR="00F56E60" w:rsidRPr="00C64DFB" w:rsidRDefault="00F56E60" w:rsidP="00CC5B49">
      <w:pPr>
        <w:pStyle w:val="ListParagraph"/>
        <w:spacing w:before="120" w:after="0"/>
        <w:ind w:left="357"/>
        <w:contextualSpacing w:val="0"/>
        <w:jc w:val="both"/>
        <w:rPr>
          <w:rFonts w:ascii="Times New Roman" w:hAnsi="Times New Roman"/>
        </w:rPr>
      </w:pPr>
      <w:r w:rsidRPr="00C64DFB">
        <w:rPr>
          <w:rFonts w:ascii="Times New Roman" w:hAnsi="Times New Roman"/>
        </w:rPr>
        <w:t>Non possiamo accettare che una materia di contrattazione così importante, perché decide le modalità di distribuzione delle risorse contrattuali ai lavoratori, possa essere sostituita da una semplice informativa.</w:t>
      </w:r>
    </w:p>
    <w:p w:rsidR="00F56E60" w:rsidRPr="00C64DFB" w:rsidRDefault="00F56E60" w:rsidP="00CC5B49">
      <w:pPr>
        <w:pStyle w:val="ListParagraph"/>
        <w:spacing w:before="120" w:after="0"/>
        <w:ind w:left="357"/>
        <w:contextualSpacing w:val="0"/>
        <w:jc w:val="both"/>
        <w:rPr>
          <w:rFonts w:ascii="Times New Roman" w:hAnsi="Times New Roman"/>
          <w:i/>
        </w:rPr>
      </w:pPr>
      <w:r w:rsidRPr="00C64DFB">
        <w:rPr>
          <w:rFonts w:ascii="Times New Roman" w:hAnsi="Times New Roman"/>
          <w:i/>
        </w:rPr>
        <w:t xml:space="preserve">Peraltro, la forzata accelerazione della sottoscrizione dell’Accordo non è giustificata neanche concretamente perché il rinvio di un mese avrebbe consentito di verificare se eventuali risorse FUA verranno restituite ai lavoratori proprio grazie alla mobilitazione nazionale. Sarebbe stato anche del tutto ininfluente sui tempi in cui le risorse saranno disponibili sui capitoli di bilancio, e quindi anche sulla liquidazione del FUA ai lavoratori. </w:t>
      </w:r>
    </w:p>
    <w:p w:rsidR="00F56E60" w:rsidRPr="00C64DFB" w:rsidRDefault="00F56E60" w:rsidP="00B85E78">
      <w:pPr>
        <w:pStyle w:val="ListParagraph"/>
        <w:spacing w:before="120" w:after="0"/>
        <w:ind w:left="0"/>
        <w:contextualSpacing w:val="0"/>
        <w:jc w:val="both"/>
        <w:rPr>
          <w:rFonts w:ascii="Times New Roman" w:hAnsi="Times New Roman"/>
          <w:b/>
        </w:rPr>
      </w:pPr>
      <w:r w:rsidRPr="00C64DFB">
        <w:rPr>
          <w:rFonts w:ascii="Times New Roman" w:hAnsi="Times New Roman"/>
          <w:b/>
        </w:rPr>
        <w:t>Chi ha accelerato la firma e chi ha sottoscritto l’Accordo lo sa benissimo!</w:t>
      </w:r>
    </w:p>
    <w:p w:rsidR="00F56E60" w:rsidRPr="00C64DFB" w:rsidRDefault="00F56E60" w:rsidP="00B85E78">
      <w:pPr>
        <w:pStyle w:val="ListParagraph"/>
        <w:spacing w:before="120" w:after="0"/>
        <w:ind w:left="0"/>
        <w:contextualSpacing w:val="0"/>
        <w:jc w:val="both"/>
        <w:rPr>
          <w:rFonts w:ascii="Times New Roman" w:hAnsi="Times New Roman"/>
        </w:rPr>
      </w:pPr>
      <w:r w:rsidRPr="00C64DFB">
        <w:rPr>
          <w:rFonts w:ascii="Times New Roman" w:hAnsi="Times New Roman"/>
        </w:rPr>
        <w:t>A questo punto rafforzeremo la nostra vigilanza nei singoli CdR, rivendicando quel diritto alla contrattazione che ci è stato negato a livello centrale.</w:t>
      </w:r>
    </w:p>
    <w:p w:rsidR="00F56E60" w:rsidRPr="00C64DFB" w:rsidRDefault="00F56E60" w:rsidP="00B85E78">
      <w:pPr>
        <w:pStyle w:val="ListParagraph"/>
        <w:spacing w:before="120" w:after="0"/>
        <w:ind w:left="0"/>
        <w:contextualSpacing w:val="0"/>
        <w:jc w:val="both"/>
        <w:rPr>
          <w:rFonts w:ascii="Times New Roman" w:hAnsi="Times New Roman"/>
        </w:rPr>
      </w:pPr>
      <w:r w:rsidRPr="00C64DFB">
        <w:rPr>
          <w:rFonts w:ascii="Times New Roman" w:hAnsi="Times New Roman"/>
        </w:rPr>
        <w:t>Da ultimo non possiamo non sottolineare l’incoerenza di quei Sindacati che a livello nazionale si “stracciano le vesti” contro questo taglio delle risorse della produttività mentre qui, all’interno, fanno il gioco dell’Amministrazione e indeboliscono di fatto le azioni nazionali di contrasto.</w:t>
      </w:r>
    </w:p>
    <w:p w:rsidR="00F56E60" w:rsidRPr="00F01860" w:rsidRDefault="00F56E60" w:rsidP="00B85E78">
      <w:pPr>
        <w:pStyle w:val="ListParagraph"/>
        <w:spacing w:before="120" w:after="0"/>
        <w:ind w:left="0"/>
        <w:contextualSpacing w:val="0"/>
        <w:jc w:val="both"/>
        <w:rPr>
          <w:rFonts w:ascii="Times New Roman" w:hAnsi="Times New Roman"/>
        </w:rPr>
      </w:pPr>
      <w:r w:rsidRPr="00F01860">
        <w:rPr>
          <w:rFonts w:ascii="Times New Roman" w:hAnsi="Times New Roman"/>
        </w:rPr>
        <w:t>In tal senso ci dispiace evidenziare che in vista della  grande manifestazione nazionale unitaria del 28 novembre prossimo, per un contratto dignitoso dei lavoratori pubblici e in difesa della loro professionalità e del diritto a una adeguata e piena retribuzione, qualche organizzazione sindacale che condivide questo percorso abbia ritenuto di sfilarsi dalla vertenza nazionale condotta in tutte le Amministrazioni, per un mero ca</w:t>
      </w:r>
      <w:r>
        <w:rPr>
          <w:rFonts w:ascii="Times New Roman" w:hAnsi="Times New Roman"/>
        </w:rPr>
        <w:t>lcolo sul minor danno possibile.</w:t>
      </w:r>
    </w:p>
    <w:p w:rsidR="00F56E60" w:rsidRPr="00C64DFB" w:rsidRDefault="00F56E60" w:rsidP="00B85E78">
      <w:pPr>
        <w:pStyle w:val="ListParagraph"/>
        <w:spacing w:before="120" w:after="0"/>
        <w:ind w:left="0"/>
        <w:contextualSpacing w:val="0"/>
        <w:jc w:val="both"/>
        <w:rPr>
          <w:rFonts w:ascii="Times New Roman" w:hAnsi="Times New Roman"/>
        </w:rPr>
      </w:pPr>
      <w:r>
        <w:rPr>
          <w:rFonts w:ascii="Times New Roman" w:hAnsi="Times New Roman"/>
        </w:rPr>
        <w:t>Roma, 09 novembre 2015</w:t>
      </w:r>
    </w:p>
    <w:sectPr w:rsidR="00F56E60" w:rsidRPr="00C64DFB" w:rsidSect="00F01860">
      <w:pgSz w:w="11906" w:h="16838"/>
      <w:pgMar w:top="426"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87A38"/>
    <w:multiLevelType w:val="hybridMultilevel"/>
    <w:tmpl w:val="9754F0E2"/>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18BA"/>
    <w:rsid w:val="000131F5"/>
    <w:rsid w:val="0002369B"/>
    <w:rsid w:val="00064BE3"/>
    <w:rsid w:val="000815F7"/>
    <w:rsid w:val="000F2BEE"/>
    <w:rsid w:val="0016172E"/>
    <w:rsid w:val="00190155"/>
    <w:rsid w:val="001D46C6"/>
    <w:rsid w:val="002006B4"/>
    <w:rsid w:val="0028591C"/>
    <w:rsid w:val="003142F9"/>
    <w:rsid w:val="00351454"/>
    <w:rsid w:val="00397EF3"/>
    <w:rsid w:val="004173A0"/>
    <w:rsid w:val="004802A1"/>
    <w:rsid w:val="004C2632"/>
    <w:rsid w:val="0052648E"/>
    <w:rsid w:val="005433BD"/>
    <w:rsid w:val="005F71DF"/>
    <w:rsid w:val="006036BB"/>
    <w:rsid w:val="00613277"/>
    <w:rsid w:val="00627F37"/>
    <w:rsid w:val="0067374E"/>
    <w:rsid w:val="00694791"/>
    <w:rsid w:val="0074049B"/>
    <w:rsid w:val="007D340A"/>
    <w:rsid w:val="007E2A29"/>
    <w:rsid w:val="007E6296"/>
    <w:rsid w:val="00873834"/>
    <w:rsid w:val="00885A31"/>
    <w:rsid w:val="008D58AE"/>
    <w:rsid w:val="008E01B2"/>
    <w:rsid w:val="009C5001"/>
    <w:rsid w:val="00A01688"/>
    <w:rsid w:val="00A96883"/>
    <w:rsid w:val="00AA0C8F"/>
    <w:rsid w:val="00AE4B4B"/>
    <w:rsid w:val="00AF0AD5"/>
    <w:rsid w:val="00B0144C"/>
    <w:rsid w:val="00B53189"/>
    <w:rsid w:val="00B53C16"/>
    <w:rsid w:val="00B56453"/>
    <w:rsid w:val="00B85E78"/>
    <w:rsid w:val="00C64DFB"/>
    <w:rsid w:val="00C7066D"/>
    <w:rsid w:val="00CC5B49"/>
    <w:rsid w:val="00D518BA"/>
    <w:rsid w:val="00ED3A01"/>
    <w:rsid w:val="00F01860"/>
    <w:rsid w:val="00F56E60"/>
    <w:rsid w:val="00F93FE8"/>
    <w:rsid w:val="00FD70B1"/>
    <w:rsid w:val="00FF3CB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F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518BA"/>
    <w:pPr>
      <w:ind w:left="720"/>
      <w:contextualSpacing/>
    </w:pPr>
  </w:style>
  <w:style w:type="paragraph" w:styleId="BalloonText">
    <w:name w:val="Balloon Text"/>
    <w:basedOn w:val="Normal"/>
    <w:link w:val="BalloonTextChar"/>
    <w:uiPriority w:val="99"/>
    <w:semiHidden/>
    <w:rsid w:val="00CC5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5B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501</Words>
  <Characters>2859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cisl03</dc:creator>
  <cp:keywords/>
  <dc:description/>
  <cp:lastModifiedBy>CGIL Esteri</cp:lastModifiedBy>
  <cp:revision>2</cp:revision>
  <cp:lastPrinted>2015-11-09T08:44:00Z</cp:lastPrinted>
  <dcterms:created xsi:type="dcterms:W3CDTF">2015-11-10T10:15:00Z</dcterms:created>
  <dcterms:modified xsi:type="dcterms:W3CDTF">2015-11-10T10:15:00Z</dcterms:modified>
</cp:coreProperties>
</file>